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CONVENÇÃO COLETIVA</w:t>
      </w:r>
    </w:p>
    <w:p>
      <w:r>
        <w:rPr>
          <w:i/>
          <w:iCs/>
          <w:color w:val="666666"/>
        </w:rPr>
        <w:t xml:space="preserve">DESCUMPRIMENTO DE CLÁUSULA</w:t>
      </w:r>
    </w:p>
    <w:p/>
    <w:p>
      <w:r>
        <w:rPr>
          <w:b/>
          <w:bCs/>
        </w:rPr>
        <w:t xml:space="preserve">Recurso: </w:t>
      </w:r>
      <w:r>
        <w:t xml:space="preserve">MS -963/86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GREVE NOS TRANSPORTES PÚBLICOS — FALTA DE RECEBIMENTO - ALEGAÇÃO INSUFICIENTE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correspondência era registrada impondo-se que a parte providenciasse o comprovante da data da entrega junto ao correio. Sequer a prova dos dias de greve foi realizada, juntando a parte apenas o documento..., de entidade privada, que mencionava providências do Egrégio Conselho Superior da Magistratura para devolução de prazos vencidos apenas no primeiro dia de setembro de 1966. - Recurso negado. Proc. TST-RO-MS-963/86, Ac. de 12-04-1989 Arquivo do EMFOR - TST/2.598 EMFOR 500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insuficiente alegar o não recebimento de notificação no prazo por força de greve nos transportes públicos, se não é feita a prova efetiva da data do recebimento da notificação e da própria permanência da greve nos dias do prazo presuntivo de quarenta e oito horas.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2026-10-16T16:33:30.407Z</dcterms:created>
  <dcterms:modified xsi:type="dcterms:W3CDTF">2026-10-16T16:33:30.407Z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