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Julgado em: </w:t>
      </w:r>
      <w:r>
        <w:t xml:space="preserve">03/04/1986</w:t>
      </w:r>
    </w:p>
    <w:p/>
    <w:p>
      <w:r>
        <w:t xml:space="preserve">SE PODE SER INVOCADA PELO JUIZ APÓS 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conhece do pedido de anulação do processado a partir da notificação da demandada, formulado pelo Exmo. Juiz prolator da sentença no despacho de encaminhamento do recurso (...), por constituir típico recurso "ex offício" não prevista em lei. - Não se trata porém, de hipótese de incidência do Decreto-Lei nº 779/69. De outra parte, o art. 659, VI, da CLT, não tem o alcance pretendido, pois se limita a autorizar a fundamentação da decisão recorrida pelo juiz, não sua reforma. Acresce que nulidade processual somente pode ser declarada por provocação das partes, não do Juízo, segundo o art. 795 da CLT. E, a esta altura, após a sentença, tal só poderia ser feito através de recurso do litigante prejudicado, não sendo admissível sua invocação sequer em contra-razões de apelo, como o fez o recorrido. Daí porque rejeita a nulidade, assim como a argüição de litigância de má fé. ... Proc.TRT-8.821/85, Julgado em 4-4-1986 Arquivo do EMFOR, TRT/418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nulidade do processo, após a sentença somente pode ser invocada pela parte a quem aproveita (art. 795 da CLT) através de recurso. - O artigo 659, VI da Consolidação das Leis do Trabalho, autoriza ao Juiz de 1º Grau a fundamentar a decisão quando remete o processo com o recurso ao 2º Grau, mas não a pleitear a anulação do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2026-07-28T01:28:30.237Z</dcterms:created>
  <dcterms:modified xsi:type="dcterms:W3CDTF">2026-07-28T01:28:30.237Z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