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CIVIL E PROC CIVIL</w:t>
      </w:r>
    </w:p>
    <w:p>
      <w:r>
        <w:rPr>
          <w:i/>
          <w:iCs/>
          <w:color w:val="666666"/>
        </w:rPr>
        <w:t xml:space="preserve">RETIFICAÇÃO DE REGISTRO IMOBILIÁRIO</w:t>
      </w:r>
    </w:p>
    <w:p/>
    <w:p/>
    <w:p>
      <w:r>
        <w:t xml:space="preserve">INCIDÊNCIA SOBRE A MEAÇÃO — LEGITIMIDADE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Insurge-se a agravante contra a decisão que negou provimento aos embargos que buscavam a exclusão da meação nos bens penhorados nos autos. Argumenta que face ao regime de casamento (comunhão universal de bens) e nos termos do art. 3º da Lei nº 4.121/62 não pode recair sobre sua meação penhora em execução de bens para garantir débito de execução trabalhista. - Procede o agravo. Por títulos de dívida de qualquer natureza, firmado por um só dos cônjuges, ainda que casado pelo regime de comunhão universal de bens, somente responderão os bens particulares do signatário e os comuns até o limite da meação (art. 3º da Lei 4.121/62). Os débitos assumidos pelo marido foram decorrentes do risco mercantil, próprio à atividade comercial, e não com o intuito de atender às necessidades da família. - Dá-se, pois, provimento ao agravo, no particular, para assegurar a meação da recorrente, excluindo-a dos efeitos da execução. Proc. TRT-5.194/86, ac. de 15-10-1986 Arquivo do Ementário Forense, TRT/441 EMFOR 465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Os bens do casal respondem por dívida trabalhista, até o limite da meação.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2026-07-28T00:45:24.905Z</dcterms:created>
  <dcterms:modified xsi:type="dcterms:W3CDTF">2026-07-28T00:45:24.905Z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