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Recurso: </w:t>
      </w:r>
      <w:r>
        <w:t xml:space="preserve">MS -65/88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 M</w:t>
      </w:r>
    </w:p>
    <w:p/>
    <w:p>
      <w:r>
        <w:t xml:space="preserve">DESLIGAMENTO — SE OFENDE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com o entendimento regional de que se é permitido ao Juiz retirar os bens penhorados da posse do executado, também é possível na hipótese da penhora do telefone, evitar o uso do referido aparelho. - A penhora recaiu sobre as linhas telefônicas, logo, não fere o direito líquido e certo do executado o desligamento de tais linhas. - Recurso Negado. Proc. TST-RO-MS-65/88, Ac. de 31-05-1989 Arquivo do EMFOR - TST/2.564 NO MESMO SENTIDO: Recurso Ordinário, TST, TP, Relator: Ministro MARCO AURÉLIO M. DE FARIAS MELLO, Proc. TST-RO-MS-423/84, ac. de 15-8-1985, "in" "EMFOR"; Nº 449.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fere o direito líquido e certo do executado o desligamento da linha do telefone penhorado.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2026-07-28T00:29:19.670Z</dcterms:created>
  <dcterms:modified xsi:type="dcterms:W3CDTF">2026-07-28T00:29:19.670Z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