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</w:t>
      </w:r>
    </w:p>
    <w:p>
      <w:r>
        <w:rPr>
          <w:i/>
          <w:iCs/>
          <w:color w:val="666666"/>
        </w:rPr>
        <w:t xml:space="preserve">ADICIONAL DE PERICULOSIDADE</w:t>
      </w:r>
    </w:p>
    <w:p/>
    <w:p/>
    <w:p>
      <w:r>
        <w:t xml:space="preserve">MOTORISTA DE BETONEIRA — ABASTECIMENTO NÃO FREQÜENTE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 era motorista de betoneira e nos serviços que prestava para a ora recorrente foi constatada pelo perito do Juízo a presença de três agentes insalubres (ruído, umidade e manipulação de produto que possui benzeno em sua composição) e a existência de periculosidade (os motoristas abasteciam os caminhões com combustível na bomba que ficava dentro do pátio da empresa). Em face da prova pericial, decidiu o Juízo de origem condenar a empresa no pagamento do adicional de periculosidade, que no caso em exame seria o mais benéfico para o obreiro. - A reclamada alega que no tocante ao ruído ficou demonstrado que o empregado recebia protetor auricular e que, portanto, não poderia receber o correspondente adicional de insalubridade. Contudo, o laudo pericial foi conclusivo ao verificar que o obreiro começou a trabalhar para a reclamada no ano de 1990 e só passou a receber equipamento de proteção em abril de 1994. - No que se relaciona com o fator insalubre umidade, a empresa não fornece qualquer elemento que impugne a conclusão da perícia no sentido de que o local em que os motoristas transitavam ficavam alagados com a lavagem dos carros. - Em relação à periculosidade, a reclamada argumenta que o reclamante não teria direito ao adicional pertinente por ter admitido em seu depoimento pessoal ... que, após ser transferido de local do trabalho, deixou de abastecer o caminhão. - Examinando-se o depoimento pessoal do reclamante, verifica-se que o obreiro informou que, após a sua transferência em junho de 1994, não efetuava o abastecimento do caminhão com a mesma frequência e não, conforme alegado pela empresa, que deixou de abastecer o veículo. - O Juízo de Prim eiro Grau entendeu que o fato de o reclamante ter reduzido o número de abastecimentos não impedia de ser caracterizada a periculosidade no período posterior a junho de 1994. E, realmente, a circunstância dos abastecimentos de combustível não serem tão frequentes quanto antes da transferência do reclamante não elide a periculosidade existente nos serviços do obreiro. - Finalmente, ainda que se entendesse que a partir de junho de 1994 o reclamante não teria direito a receber o adicional de periculosidade, nem por isso perderia o direito de perceber o adicional relativo ao período anterior a sua transferência. - Assim, nega-se provimento ao recurso .... Ac. de 06-05-1996 RDT de 12/96, pág. 57 Arquivo do EMFOR, TRT/N 2.116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circunstância dos abastecimentos de combustível não serem tão frequentes quanto antes da transferência do reclamante não elide a periculosidade existente nos serviços do obreiro.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2026-07-28T01:19:44.821Z</dcterms:created>
  <dcterms:modified xsi:type="dcterms:W3CDTF">2026-07-28T01:19:44.821Z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