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/>
    <w:p>
      <w:r>
        <w:t xml:space="preserve">NECESSIDADE DE PRÉVIA INTIMAÇÃO À PARTE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INDEFERIMENTO DA PETIÇÃO INICIAL, POR ENCONTRAR-SE DESACOMPANHADA DE DOCUMENTO INDISPENSÁVEL À PROPOSITURA DA AÇÃO OU NÃO PREENCHER OUTRO REQUISITO LEGAL, SOMENTE É CABÍVEL SE, APÓS INTIMADA PARA SUPRIR A IRREGULARIDADE EM DEZ DIAS, A PARTE NÃO O FIZER. Referências: CPC, arts. 282, 283, e 284 e parágrafo único. DJ de 31-10-86. EMFOR 460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2026-07-28T01:18:36.521Z</dcterms:created>
  <dcterms:modified xsi:type="dcterms:W3CDTF">2026-07-28T01:18:36.521Z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