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25/02/1985</w:t>
      </w:r>
    </w:p>
    <w:p/>
    <w:p>
      <w:r>
        <w:t xml:space="preserve">PRAZO — CONTAGEM A PARTIR DO ATO DA EMPRESA E NÃO DO PREJUÍZO SALARIAL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Mérito. - Está pacificamente reconhecido nos autos que decorreram mais de dois (2) anos entre a data da alteração contratual ora apontada como prejudicial pelo Recorrido e aquela que ajuizou a presente reclamação, insurgindo-se contra a referida alteração. - O entendimento do E. Regional, segundo o qual o prazo prescricional para reclamar contra qualquer alteração contratual só começa a fluir a partir do momento em que o empregado passa a ter prejuízos salariais (...), não merece prosperar. Com efeito, o ato positivo e único do empregador que alterou o contrato de trabalho do Reclamante e contra cujos efeitos ele se rebela, é que constitui o marco inicial do prazo prescricional, pois, a partir de então tinha ele ação para pleitear a nulidade do mesmo ato, cuja ilegalidade não repousa, unicamente, em perdas salariais. - Dou, pois, provimento ao recurso, para considerar prescrito o direito de ação do Reclamante, prejudicada a revista quanto ao mais. Proc. TST-RR-904/84, Julgado em 26-02-1985 VENCIDO O MINISTRO HÉLIO REGATO (Relator) "conhecia ao recurso quanto à preliminar de prescrição e dava-lhe provimento, para considerar prescrito o direito de ação, prejudicado o recurso quanto à alteração contratual decorrente da transferência". Arquivo do EMFOR, TST/1.869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prescrição do direito de reclamar contra alteração unilateral do contrato de trabalho começa a fluir a partir do ato da empresa que determinou o tornou efetiva a alteração e não daquela em que a mesma passou a acarretar prejuízo salarial para 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2026-07-27T23:45:28.381Z</dcterms:created>
  <dcterms:modified xsi:type="dcterms:W3CDTF">2026-07-27T23:45:28.381Z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