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25/02/1985</w:t>
      </w:r>
    </w:p>
    <w:p/>
    <w:p>
      <w:r>
        <w:t xml:space="preserve">PRAZO — CONTAGEM A PARTIR DO ATO DA EMPRESA E NÃO DO PREJUÍZO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Mérito. - Está pacificamente reconhecido nos autos que decorreram mais de dois (2) anos entre a data da alteração contratual ora apontada como prejudicial pelo Recorrido e aquela que ajuizou a presente reclamação, insurgindo-se contra a referida alteração. - O entendimento do E. Regional, segundo o qual o prazo prescricional para reclamar contra qualquer alteração contratual só começa a fluir a partir do momento em que o empregado passa a ter prejuízos salariais (...), não merece prosperar. Com efeito, o ato positivo e único do empregador que alterou o contrato de trabalho do Reclamante e contra cujos efeitos ele se rebela, é que constitui o marco inicial do prazo prescricional, pois, a partir de então tinha ele ação para pleitear a nulidade do mesmo ato, cuja ilegalidade não repousa, unicamente, em perdas salariais. - Dou, pois, provimento ao recurso, para considerar prescrito o direito de ação do Reclamante, prejudicada a revista quanto ao mais. Proc. TST-RR-904/84, Julgado em 26-02-1985 VENCIDO O MINISTRO HÉLIO REGATO (Relator) "conhecia ao recurso quanto à preliminar de prescrição e dava-lhe provimento, para considerar prescrito o direito de ação, prejudicado o recurso quanto à alteração contratual decorrente da transferência". Arquivo do EMFOR, TST/1.869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prescrição do direito de reclamar contra alteração unilateral do contrato de trabalho começa a fluir a partir do ato da empresa que determinou o tornou efetiva a alteração e não daquela em que a mesma passou a acarretar prejuízo salarial para 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2026-10-26T04:15:03.120Z</dcterms:created>
  <dcterms:modified xsi:type="dcterms:W3CDTF">2026-10-26T04:15:03.120Z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