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/>
    <w:p>
      <w:r>
        <w:t xml:space="preserve">AJUIZAMENTO APÓS DOIS ANOS — QUANDO ATINGE O PRÓPRIO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ilustre Ministro FLAQUER SCARTEZZINI disse quando do julgamento do recurso ordinário: "Com relação a prescrição arguida, entendo deva a mesma ser decretada, tendo em vista que a aposentadoria extingue o vínculo empregatício, assim, a ação proposta após dois anos de rompimento do pacto laboral, no meu sentir, está prescrita". Ac. de 18-03-1987 Revista do Tribunal Federal de Recursos - Novembro de 1987 - Vol. 151 - Pag. 355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Aposentadoria, sendo norma de extinção do pacto laboral, enseja o alcance dos direitos decorrentes do instrumento. Ajuizada a reclamatória após o período de dois anos contados da data das respectivas inativações, forçoso é reconhecer prescrito o próprio fundo de direito.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2026-07-28T01:47:38.206Z</dcterms:created>
  <dcterms:modified xsi:type="dcterms:W3CDTF">2026-07-28T01:47:38.206Z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