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/>
    <w:p>
      <w:r>
        <w:t xml:space="preserve">AJUIZAMENTO APÓS DOIS ANOS — QUANDO ATINGE O PRÓPRIO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ilustre Ministro FLAQUER SCARTEZZINI disse quando do julgamento do recurso ordinário: "Com relação a prescrição arguida, entendo deva a mesma ser decretada, tendo em vista que a aposentadoria extingue o vínculo empregatício, assim, a ação proposta após dois anos de rompimento do pacto laboral, no meu sentir, está prescrita". Ac. de 18-03-1987 Revista do Tribunal Federal de Recursos - Novembro de 1987 - Vol. 151 - Pag. 355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Aposentadoria, sendo norma de extinção do pacto laboral, enseja o alcance dos direitos decorrentes do instrumento. Ajuizada a reclamatória após o período de dois anos contados da data das respectivas inativações, forçoso é reconhecer prescrito o próprio fundo de direito.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2026-10-16T17:15:20.188Z</dcterms:created>
  <dcterms:modified xsi:type="dcterms:W3CDTF">2026-10-16T17:15:20.188Z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