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CARLOS DA FONSECA</w:t>
      </w:r>
    </w:p>
    <w:p/>
    <w:p>
      <w:r>
        <w:t xml:space="preserve">INDENIZAÇÃO POR TEMPO ANTERIOR À OPÇÃO — APOSENTADORIA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prevalente nesta Egrégia Corte Superior é o de que se aplica a prescrição bienal ao pedido de indenização pelo tempo anterior à opção pelo FGTS (RR-946/88 - Ac. 1º T. - 2.652/88, Relator Ministro JOSÉ CARLOS DA FONSECA, publicado no DJ de 18-11-1988; RR-5.169/87 - Ac. 2ª T. 3.328/88, Relator Ministro AURÉLIO MENDES DE OLIVEIRA, publicado no DJ de 3-2-89, RR - 948/88 - Ac. 3ª T. 3.136/88, Relator Ministro ORLANDO TEIXEIRA DA COSTA, publicado no DJ de 10-2-89). - Destarte, dou provimento ao recurso para julgar extinto com julgamento de mérito, com base no art. 269, IV, do CPC. Proc. TST-RR-2.641/88, Ac. de 02-05-1989 Arquivo do EMFOR - TST/2.550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entendimento prevalente nesta Egrégia Corte Superior, aplica-se a prescrição bienal do pedido de indenização pelo tempo anterior à opção pelo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2026-07-28T03:30:46.843Z</dcterms:created>
  <dcterms:modified xsi:type="dcterms:W3CDTF">2026-07-28T03:30:46.843Z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