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EQUIPARAÇÃO SALARIAL</w:t>
      </w:r>
    </w:p>
    <w:p>
      <w:r>
        <w:rPr>
          <w:i/>
          <w:iCs/>
          <w:color w:val="666666"/>
        </w:rPr>
        <w:t xml:space="preserve">LICENÇA PARA TRATAMENTO DE SAÚDE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ARGUIÇÃO DE NULIDADE DE OPÇÃO — FLUÊNCIA DO PRAZO - QUANDO SE INICIA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TERMO INICIAL DA PRESCRIÇÃO PARA ANULAR A OPÇÃO PELO FUNDO DE GARANTIA DO TEMPO DE SERVIÇO COINCIDE COM A DATA EM QUE FORMALIZOU O ATO OPCIONAL, E NÃO COM A CESSAÇÃO DO CONTRATO DE TRABALHO. Arquivo do EMFOR - TST/1.884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2026-07-28T01:52:17.751Z</dcterms:created>
  <dcterms:modified xsi:type="dcterms:W3CDTF">2026-07-28T01:52:17.751Z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