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 79.625-</w:t>
      </w:r>
    </w:p>
    <w:p/>
    <w:p>
      <w:r>
        <w:t xml:space="preserve">SE É EXIGÍVEL — REVOGAÇÃO DE SÚMULA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 fiscal moratória constitui pena administrativa, não se incluindo no crédito habilitado em falência. Referência: - Decreto-Lei nº 7.661, de 21.06.45, artigo 23, III (Lei de Falências). RE 79.625-SP, de 14.08.75 (D.J. de 08.07.76) RE 80.824-SP, de 15.08.75 (D.J. de 12.09.75) RE 82.579-SP, de 30.09.75 (D.J. de 17.10.75) RE 81.351-SP, de 07.10.75 (D.J. de 24.10.75) RE 82.167-SP, de 04.11.75 (D.J. de 12.12.75, R.T.J. 76/652) RE 82.241-SP, de 04.11.75 (D.J. de 12.12.75) ERE 80.524-SP, de 11.09.75 (D.J. de 26.09.75) Sessão de 15-12-1976 D.J., 1977 - Janeiro - n.1 - pág. 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2026-07-27T23:43:40.564Z</dcterms:created>
  <dcterms:modified xsi:type="dcterms:W3CDTF">2026-07-27T23:43:40.564Z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