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52.008</w:t>
      </w:r>
    </w:p>
    <w:p/>
    <w:p>
      <w:r>
        <w:t xml:space="preserve">CARÁTER DE PENA ADMINISTRATIVA — EXCLUSÃO DO CRÉDITO HABILITADO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inclui no crédito habilitado em falência a multa fiscal com efeito de pena administrativa. Referência: - Lei de Falências, artigo 23, II RE 52.008, de 26.03.63; RE 50.871, de 16.11.62 (D. de Just. de 09.05.63, p. 271); ERE 50.871, de 18.11.63. Aprovada em Sessão de 13-12-1963 V. SÚMULA Nº 191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2026-10-26T06:00:59.368Z</dcterms:created>
  <dcterms:modified xsi:type="dcterms:W3CDTF">2026-10-26T06:00:59.368Z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