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52.008</w:t>
      </w:r>
    </w:p>
    <w:p/>
    <w:p>
      <w:r>
        <w:t xml:space="preserve">CARÁTER DE PENA ADMINISTRATIVA — EXCLUSÃO DO CRÉDITO HABILITADO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inclui no crédito habilitado em falência a multa fiscal com efeito de pena administrativa. Referência: - Lei de Falências, artigo 23, II RE 52.008, de 26.03.63; RE 50.871, de 16.11.62 (D. de Just. de 09.05.63, p. 271); ERE 50.871, de 18.11.63. Aprovada em Sessão de 13-12-1963 V. SÚMULA Nº 191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2026-07-28T00:13:15.698Z</dcterms:created>
  <dcterms:modified xsi:type="dcterms:W3CDTF">2026-07-28T00:13:15.698Z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