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ESTRUTURA JURÍDICA DA EMPRESA</w:t>
      </w:r>
    </w:p>
    <w:p/>
    <w:p/>
    <w:p>
      <w:r>
        <w:t xml:space="preserve">ABONO PARA PEDIDO DE INSALUBRIDADE — HIPÓTESE QUE EXIGE PROVA TÉCNICA ESPECÍFICA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este Relator não admite prova emprestada em abono do pedido de insalubridade, porque existe imperativo legal no sentido de que a caracterização e classificação da insalubridade argüida em juízo seja feita na forma prevista pelo § 2º do art. 195 consolidado, sendo que às partes somente é facultada a indicação de assistente técnico, na forma prevista pelo parágrafo único do art. 3º da Lei nº 5.584/70. Portanto, admitir-se a apresentação de prova emprestada em substituição da prova técnica, específica para cada processo, tornaria letra morta tais disposições legais. E, ainda que assim não fosse, à prova emprestada juntada pela reclamante se contrapõe prova de igual grau, juntada pela reclamada, o que implicaria em empate. (Ementa trecho do acórdão) Ac. de 26-02-1996 DOE de 12.03.96 Arquivo do EMFOR, TRT/IN 1085 EMFOR 597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2026-07-28T03:52:14.339Z</dcterms:created>
  <dcterms:modified xsi:type="dcterms:W3CDTF">2026-07-28T03:52:14.339Z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