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Recurso: </w:t>
      </w:r>
      <w:r>
        <w:t xml:space="preserve">RE 24.015</w:t>
      </w:r>
    </w:p>
    <w:p/>
    <w:p>
      <w:r>
        <w:t xml:space="preserve">DINHEIRO RECEBIDO EM NOME DE OUTREM OU INDISPONÍVEL PELO FALIDO — 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ser objeto de restituição, na falência, dinheiro em poder do falido, recebido em nome de outrem, ou do qual, por lei ou contrato, não tivesse ele a disponibilidade. Referência: Lei de Falências, arts. 76, 78 e 102, § 2º; Dec.-Lei nº 65, de 14.12.37, art. 9º, parte final RE 24.015, de 11.12.53 (D.J. de 17.03.58, p. 1.205); RE 24.471, de 04.01.54 (D.J. de 15.06.59, p. 2.244). ERE 24.471, de 17.10.58. V. Súmula 193. DJ 124, de 8 de julho de 1964 - Adendo nº 2 - pág. 2.238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2026-10-26T05:56:46.274Z</dcterms:created>
  <dcterms:modified xsi:type="dcterms:W3CDTF">2026-10-26T05:56:46.274Z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