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>
      <w:r>
        <w:rPr>
          <w:b/>
          <w:bCs/>
        </w:rPr>
        <w:t xml:space="preserve">Julgado em: </w:t>
      </w:r>
      <w:r>
        <w:t xml:space="preserve">04/03/1985</w:t>
      </w:r>
    </w:p>
    <w:p/>
    <w:p>
      <w:r>
        <w:t xml:space="preserve">MERCADORIA VENDIDA A CRÉDITO — QUANDO PROCEDE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Nesse sentido é que vem se orientando a Jurisprudência moderna como se pode ver pelo venerando aresto da Terceira Câmara Civil do Tribunal de Justiça de São Paulo, transcrito em Revista dos Tribunais, vol. 434, pág. 110, cuja a ementa é a seguinte: "A alteração, a industrialização, o consumo ou a alienação das mercadorias vendidas a crédito e entregues no período crítico da falência ou concordata não impede a restituição e esta se faz, então, pelo valor em dinheiro." - Por esses motivos, foi que se negou provimento ao recurso. Julgado em 05-03-1985 Jurisprudência Catarinense - 49, Pág. 126 EMFOR 449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cabível pedido de restituição de mercadoria desde que a coisa tenha sido entregue com 15 dias anteriores ao requerimento da concordata, e que o negócio tenha sido a crédito, pouco importando o destino dado à mercadoria, pois se esta não mais for encontrada, a devolução será em espécie.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2026-07-28T01:47:19.958Z</dcterms:created>
  <dcterms:modified xsi:type="dcterms:W3CDTF">2026-07-28T01:47:19.958Z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