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Julgado em: </w:t>
      </w:r>
      <w:r>
        <w:t xml:space="preserve">04/03/1985</w:t>
      </w:r>
    </w:p>
    <w:p/>
    <w:p>
      <w:r>
        <w:t xml:space="preserve">MERCADORIA VENDIDA A CRÉDITO — QUANDO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é que vem se orientando a Jurisprudência moderna como se pode ver pelo venerando aresto da Terceira Câmara Civil do Tribunal de Justiça de São Paulo, transcrito em Revista dos Tribunais, vol. 434, pág. 110, cuja a ementa é a seguinte: "A alteração, a industrialização, o consumo ou a alienação das mercadorias vendidas a crédito e entregues no período crítico da falência ou concordata não impede a restituição e esta se faz, então, pelo valor em dinheiro." - Por esses motivos, foi que se negou provimento ao recurso. Julgado em 05-03-1985 Jurisprudência Catarinense - 49, Pág. 126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pedido de restituição de mercadoria desde que a coisa tenha sido entregue com 15 dias anteriores ao requerimento da concordata, e que o negócio tenha sido a crédito, pouco importando o destino dado à mercadoria, pois se esta não mais for encontrada, a devolução será em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2026-10-26T04:56:36.801Z</dcterms:created>
  <dcterms:modified xsi:type="dcterms:W3CDTF">2026-10-26T04:56:36.801Z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