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p>
      <w:r>
        <w:t xml:space="preserve">CONHECIMENTO — QUANDO NÃO IMPEDE</w:t>
      </w:r>
    </w:p>
    <w:p/>
    <w:p>
      <w:pPr>
        <w:pStyle w:val="Heading2"/>
      </w:pPr>
      <w:r>
        <w:rPr>
          <w:b/>
          <w:bCs/>
        </w:rPr>
        <w:t xml:space="preserve">Ementa</w:t>
      </w:r>
    </w:p>
    <w:p>
      <w:r>
        <w:t xml:space="preserve">O depósito, para fins de recurso, realizado fora da conta vinculada do trabalhador, desde que feito na sede do juízo, ou realizado na conta vinculada do trabalhador, apesar de fora da sede do juízo, uma vez que permaneça à disposição deste, não impedirá o conhecimento do apelo (Ex-Prejulgado, nº 45).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2026-10-16T16:36:01.265Z</dcterms:created>
  <dcterms:modified xsi:type="dcterms:W3CDTF">2026-10-16T16:36:01.265Z</dcterms:modified>
</cp:coreProperties>
</file>

<file path=docProps/custom.xml><?xml version="1.0" encoding="utf-8"?>
<Properties xmlns="http://schemas.openxmlformats.org/officeDocument/2006/custom-properties" xmlns:vt="http://schemas.openxmlformats.org/officeDocument/2006/docPropsVTypes"/>
</file>