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Recurso: </w:t>
      </w:r>
      <w:r>
        <w:t xml:space="preserve">MS -</w:t>
      </w:r>
    </w:p>
    <w:p/>
    <w:p>
      <w:r>
        <w:t xml:space="preserve">DECISÃO CONTRÁRIA A FAZENDA   PÚBLICA — SE ESTÁ A ELE SUJEITA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Está sujeita ao Duplo Grau de Jurisdição, mesmo na vigência da Constituição Federal de 1988, decisão contrária a Fazenda Pública. Resolução nº 1/92 Referência: Decr.- Lei 779/69, art. 1º, inciso V. CPC, art. 475, inciso II. Precedentes: ROMS - 6.168/90 - RS (DI. Min. JOSÉ C. DA FONSECA - DJ 22-02-91). REXOFF - 7.858/90 - RS (DI. Min. URSULINO SANTOS - DJ 13-03-91). REXOFF - 9.818/90 - RS (DI. Min. URSULINO SANTOS - DJ 08-11-91). ROMS - 11.633/90 - MG (DI. Min. URSULINO SANTOS - DJ 08-11-91). REXOFF - 29/89 - RS (DI. Min. URSULINO SANTOS - DJ 14-11-91). REXOFF - 17/88 - RS (DI. Min. FERNANDO VILAR - DJ 19-12-91). REXOFF - 36/89 - RS (DI. Min. JOSÉ C. DA FONSECA - DJ 11-12-91). N. da R.: Ver o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2026-07-28T00:39:14.371Z</dcterms:created>
  <dcterms:modified xsi:type="dcterms:W3CDTF">2026-07-28T00:39:14.371Z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