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Recurso: </w:t>
      </w:r>
      <w:r>
        <w:t xml:space="preserve">MS 39/85</w:t>
      </w:r>
    </w:p>
    <w:p/>
    <w:p>
      <w:r>
        <w:t xml:space="preserve">PROCESSO ADMINISTRATIVO — DECISÃO DE TRIBUNAL REGIONAL - QUANDO É CABÍVEL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N. da R.: Ver t. RESOLUÇÃO, st. Nº 135/05 Das decisões proferidas pelos Tribunais Regionais, em processo administrativo, cabe recurso para o Tribunal Superior do Trabalho tão-somente para exame da legalidade do ato. Resolução nº 13/93 Precedentes: ROAR 48.638/92 - BA (DI T. Min. ERMES P. PEDRASSANI - DJ 18-06-93). ROAGRC 30.644/91 - PA (DI T. Min. HYLO GURGEL - DJ 22-05-92). RORC 29.191/91 - RJ (DI T. Min. HYLO GURGE - DJ 08-05-92). AIRO 55.582/92 - DF (DE T. Min. CNEA MOREIRA - DJ 02-04-93). ROMS 39/85 - AM (DI T. Min. JOSÉ AJURICABA - DJ 15-12-89). ROMA 757/87 - SC (TP T. Min. OMISSO - DJ 02-12-88). ROMA 360/85 - SC (TP T. Min. MARCELO PIMENTEL - DJ 15-08-86). Decisão em 17-11-1993 DJ 29-11-1993, pág. 25.920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2026-07-27T23:53:32.753Z</dcterms:created>
  <dcterms:modified xsi:type="dcterms:W3CDTF">2026-07-27T23:53:32.753Z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