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RECURSO DE REVISTA</w:t>
      </w:r>
    </w:p>
    <w:p>
      <w:r>
        <w:rPr>
          <w:i/>
          <w:iCs/>
          <w:color w:val="666666"/>
        </w:rPr>
        <w:t xml:space="preserve">DIVERGÊNCIA DE JURISPRUDÊNCIA</w:t>
      </w:r>
    </w:p>
    <w:p/>
    <w:p>
      <w:r>
        <w:rPr>
          <w:b/>
          <w:bCs/>
        </w:rPr>
        <w:t xml:space="preserve">Recurso: </w:t>
      </w:r>
      <w:r>
        <w:t xml:space="preserve">embargos declaratórios -</w:t>
      </w:r>
    </w:p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NÃO OPOSIÇÃO PARA SUPRIR OMISSÃO — PRECLUSÃO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Tribunal Regional entendeu preclusa a questão, pois foi omitida pela sentença e não foi alegada em embargos declaratórios. - O autor alega violados os arts. 515 do CPC e 153 parágrafo 3º da Constituição Federal. - Entretanto, verifica-se que o recorrente não opôs embargos declaratórios para sanar omissão no julgamento da sentença estando, portanto, preclusa a matéria, face óbice do Enunciado nº 184 (*) TST. Proc. TST-RR-0268/89, Ac. de 13-06-1989 Arquivo do EMFOR - TST/2.597 EMFOR 500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Ocorre preclusão quando não forem opostos embargos declaratórios para suprir omissão apontada em recurso de revista ou de embargos.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2026-10-16T17:10:48.949Z</dcterms:created>
  <dcterms:modified xsi:type="dcterms:W3CDTF">2026-10-16T17:10:48.949Z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