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INFRINGENTES</w:t>
      </w:r>
    </w:p>
    <w:p>
      <w:r>
        <w:rPr>
          <w:i/>
          <w:iCs/>
          <w:color w:val="666666"/>
        </w:rPr>
        <w:t xml:space="preserve">DIVERGÊNCIA DE JURISPRUDÊNCIA</w:t>
      </w:r>
    </w:p>
    <w:p/>
    <w:p/>
    <w:p>
      <w:r>
        <w:t xml:space="preserve">ALÍNEA "B" DO ART. 896 DA CLT, COM REDAÇÃO DADA PELA 7.701/88 — INOCORRÊNCIA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CONSTITUCIONAL A ALÍNEA "B" DO ARTIGO OITOCENTOS E NOVENTA E SEIS DA CLT, COM A REDAÇÃO DADA PELA LEI SETE MIL SETECENTOS E UM, DE VINTE E UM DE DEZEMBRO DE MIL NOVECENTOS E OITENTA E OITO. Referência Legislativa Lei de 22-9-1993, pág. 19408 EMFOR 500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2026-07-28T01:57:17.967Z</dcterms:created>
  <dcterms:modified xsi:type="dcterms:W3CDTF">2026-07-28T01:57:17.967Z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