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INFRINGENTES</w:t>
      </w:r>
    </w:p>
    <w:p>
      <w:r>
        <w:rPr>
          <w:i/>
          <w:iCs/>
          <w:color w:val="666666"/>
        </w:rPr>
        <w:t xml:space="preserve">DIVERGÊNCIA DE JURISPRUDÊNCIA</w:t>
      </w:r>
    </w:p>
    <w:p/>
    <w:p>
      <w:r>
        <w:rPr>
          <w:b/>
          <w:bCs/>
        </w:rPr>
        <w:t xml:space="preserve">Recurso: </w:t>
      </w:r>
      <w:r>
        <w:t xml:space="preserve">RE 51.312</w:t>
      </w:r>
    </w:p>
    <w:p/>
    <w:p>
      <w:r>
        <w:t xml:space="preserve">APLICAÇÃO DO DIREITO À ESPÉCIE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Tribunal Superior do Trabalho, conhecendo da revista, julgará a causa, aplicando o direito à espécie. Referência: CLT, artigo 896; RE 51.312, de 07.04.64 (D.J. de 04.06.64, p. 315) RE 56.323, de 01.10.64. Sessão de 01-10-1964 DJ, 1964 - Outubro - Pág. 3.647 - Nº 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2026-07-28T01:36:08.353Z</dcterms:created>
  <dcterms:modified xsi:type="dcterms:W3CDTF">2026-07-28T01:36:08.353Z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