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DIVERGÊNCIA DE JURISPRUDÊNCIA</w:t>
      </w:r>
    </w:p>
    <w:p/>
    <w:p/>
    <w:p>
      <w:r>
        <w:t xml:space="preserve">INTERPRETAÇÃO RAZOÁVEL — QUANDO NÃO ENSEJA O CONHECIMENTO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RAZOÁVEL DE PRECEITO DE LEI, AINDA QUE NÃO SEJA A MELHOR, NÃO DÁ ENSEJO A ADMISSIBILIDADE OU AO CONHECIMENTO DOS RECURSOS DE REVISTA OU DE EMBARGOS COM BASE, RESPECTIVAMENTE, NAS ALÍNEAS "B" DOS ARTIGOS 896 e 894, DA CONSOLIDAÇÃO DAS LEIS DO TRABALHO. A VIOLAÇÃO HÁ QUE ESTAR LIGADA À LITERALIDADE DO PRECEITO. N. da R.: Ver o t. RESOLUÇÃO, st. Nº 129/05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2026-10-16T17:22:19.961Z</dcterms:created>
  <dcterms:modified xsi:type="dcterms:W3CDTF">2026-10-16T17:22:19.961Z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