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INFRINGENTES</w:t>
      </w:r>
    </w:p>
    <w:p>
      <w:r>
        <w:rPr>
          <w:i/>
          <w:iCs/>
          <w:color w:val="666666"/>
        </w:rPr>
        <w:t xml:space="preserve">DIVERGÊNCIA DE JURISPRUDÊNCIA</w:t>
      </w:r>
    </w:p>
    <w:p/>
    <w:p>
      <w:r>
        <w:rPr>
          <w:b/>
          <w:bCs/>
        </w:rPr>
        <w:t xml:space="preserve">Recurso: </w:t>
      </w:r>
      <w:r>
        <w:t xml:space="preserve">RE -91395/79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HIPÓTESE DE INCOMPETÊNCIA ABSOLUTA —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se refere à incompetência da Justiça do Trabalho, esta egrégia Corte já firmou jurisprudência no sentido de que, mesmo em se tratando de incompetência absoluta, não se dispensa o prequestionamento do tema (E-RR-485/81 e E-RR-2044/75). Outro não é o entendimento do STF que vem proclamando ser o prequestionamento da incompetência absoluta pressuposto para o exame do tema, via recurso extraordinário (AGR-AG-94264/84 e RE-91395/79). - Vale acrescentar que a presente ação foi ajuizada quando da edição da Lei nº 8112, de 11/12/90, pelo que se enquadra na competência residual da Justiça do Trabalho. - Não conheço. Ac. 2.501/96 - DJ 21-06-96 Arquivo do EMFOR, TST/N 1.513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incompetência da Justiça do Trabalho, ainda que absoluta, é matéria que carece de prequestionamento.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2026-10-16T16:11:41.508Z</dcterms:created>
  <dcterms:modified xsi:type="dcterms:W3CDTF">2026-10-16T16:11:41.508Z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