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06/04/1987</w:t>
      </w:r>
    </w:p>
    <w:p/>
    <w:p>
      <w:r>
        <w:t xml:space="preserve">INTERPRETAÇÃO DE CLÁUSULA DE CONVENÇÃO COLETIVA — VERIFICAÇÃO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douta Procuradoria-Geral da República, em parecer da Dra. ANADYR DE MENDONÇA RODRIGUES, assim apreciou a questão: «Resume-se a inconformação extrema a arguir a violação do art. 165, XIV, da Carta Magna, ao argumento de que tal disposição é constitucional. «... assegura o reconhecimento e validade das convenções coletivas de trabalho, razão pela qual à cláusula vigente não se poderia aplicar o reajustamento semestral concedido pela Lei 6.708/79 enquanto em vigor a condição conventada, como, aliás, expressamente previu o artigo 10º da mencionada lei.» - Assim posta a questão, afigura-se óbvio que, para, se chegar à imputada mácula à Carta Magna, forçoso será que, antes, seja interpretada cláusula da convenção coletiva de trabalho, para que, a seguir, seja examinada negativa de vigência de lei federal. - Somente então é que, por via evidentemente reflexa, configurar-se-ia, eventualmente a questão constitucional invocada. - A Súmula 454 constitui o primeiro óbice ao desenvolvimento de tal operação que, de qualquer sorte, não poderá levar ao conhecimento do apelo extraordinário, já que é pacífico o entendimento dessa Excelsa Corte de que a ofensa reflexa à Constituição não enseja admissão raro.» (*) «Simples interpretação de cláusulas contratuais não dá lugar a recurso extraordinário.» (EMENTÁRIO FORENSE», Nº 193). - Tenho, assim, que não se cuida de aplicar a norma constitucional invocada, mas, sim, de disposições da Lei nº 6.708/79 a obrigação do empregador oriunda de convenção coletiva. - Corrobora tal entendimento a circunstância de haver, o ora agravante, em seus embargos de declaração a arest o da Corte trabalhista, anteposto o preceito de lei ordinária ao mesmo artigo 165, XIV, da Constituição Federal, que, agora, solitariamente, invoca. - E de haver colhido, como resposta, que não vulnerado o artigo 10 da Lei nº 6.708/79, tem-se como: «desnecessária a afirmação de sua ilesividade» (isto é, da norma constitucional questionada). - Nego provimento ao agravo. Julgado em 07-04-1987 Arquivo do STF - DJ 8-5-87 - Ementário Nº 1.460-3 Arquivo do Ementário Forense, STF/52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ofensa direta à Constituição se, para encontrá-la, faz-se necessário, primeiro, interpretar cláusula de convenção coletiva de trabalho, inviável na instância rara (Súmula 454), e, depois, lobrigar vulneração de lei federal, aliás inocorrente na espécie.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2026-10-16T16:11:47.717Z</dcterms:created>
  <dcterms:modified xsi:type="dcterms:W3CDTF">2026-10-16T16:11:47.717Z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