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RE 41.238</w:t>
      </w:r>
    </w:p>
    <w:p>
      <w:r>
        <w:rPr>
          <w:b/>
          <w:bCs/>
        </w:rPr>
        <w:t xml:space="preserve">Julgado em: </w:t>
      </w:r>
      <w:r>
        <w:t xml:space="preserve">24/06/1985</w:t>
      </w:r>
    </w:p>
    <w:p/>
    <w:p>
      <w:r>
        <w:t xml:space="preserve">PASTOR E IGREJA EVANGÉLICA MISSIONÁRIA — QUANDO NÃO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próprio da natureza dos misteres religiosos seu desempenho sem vínculo empregatício, mesmo porque ausentes os pressupostos arrolados no art. 3º da CLT. - Bem salienta o Acórdão nº 9.459/77 do TRT da 2ª Região, colacionado pela R. sentença recorrida que: "O Pastor ao abraçar a vida e as funções religiosas e espirituais a que se sentiu convocado por razões pessoais, próprias e subjetivas, desempenhando as funções e atividades inerentes aos objetivos e finalidade da Igreja, não pode encontrar agasalho à pretensão de identificação com o conteúdo do art. 3º da CLT. - É o caso dos autos em que - como revela eloquentemente a prova - inexiste relação empregatícia. Correta a decisão de 1º Grau, que não merece reforma. Proc. TRT-749/85, Julgado em 25-06-1985 Arquivo do EMFOR, TRT/397 EMFOR 449 O processo da execução trabalhista não exclui a remição pelo executado. Referência: CLT, artigos 888, parágrafo 1º e 889; Cód. Proc. Civil, artigos 952 e 986; Dec.-Lei nº 960, de 17.12.38, artigo 38 RE 41.238, de 03.12.59; RE 42.774, de 24.09.59; RE 51.772, de 24.09.63 (D.J. de 07.05.64, p. 220). ERE 42.774, de 07.06.63 (D.J. de 22.08.63, p. 748). Sessão de 01-10-1964 DJ, Outubro, Adendo nº 3 - pág. 3.647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3º da Consolidação das Leis do Trabalho. - É próprio da natureza dos misteres religiosos seu desempenho sem vínculo empregatício, mesmo porque ausentes os pressupostos para a configuração da relação de emprego.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2026-07-28T01:50:52.668Z</dcterms:created>
  <dcterms:modified xsi:type="dcterms:W3CDTF">2026-07-28T01:50:52.668Z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