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CONSOLIDAÇÃO DAS LEIS DO TRABALHO</w:t>
      </w:r>
    </w:p>
    <w:p>
      <w:r>
        <w:rPr>
          <w:i/>
          <w:iCs/>
          <w:color w:val="666666"/>
        </w:rPr>
        <w:t xml:space="preserve">LEI 8.966 DE 27-12-1994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SE CABE APÓS A RESCISÃO DO CONTRATO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Por violação legal, entendemos também descaber o apelo. Ofensa ao artigo 142 da Constituição Federal inocorre, pois as instâncias percorridas não se furtaram ao exame da matéria, decidindo no entanto, que a ação de repetição de indébito que traduz, no caso, a pretensão da Autora, não pode ter acolhida na Justiça do Trabalho, eis que o crédito do empregador só pode ser invocado como matéria de defesa (artigo 767 da CLT). - Inaplicável ao caso o artigo 494 da CLT, que cuida de inquérito judicial, inocorrente na espécie. - Sem embasamento legal, não conheço do recurso. Proc. TST-RR-9.943/85.6, Ac. de 02-09-1986 Arquivo do EMFOR - TST/2.338 EMFOR 483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Rescindido o contrato de trabalho, descabe ação de cobrança de débito do empregado. - A ação de repetição de indébito representa cobrança de crédito do empregador, só cabível como matéria de defesa (reconvenção ou compensação de dívida).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2026-07-28T01:18:03.330Z</dcterms:created>
  <dcterms:modified xsi:type="dcterms:W3CDTF">2026-07-28T01:18:03.330Z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