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Recurso: </w:t>
      </w:r>
      <w:r>
        <w:t xml:space="preserve">RE 26.359</w:t>
      </w:r>
    </w:p>
    <w:p/>
    <w:p>
      <w:r>
        <w:t xml:space="preserve">INCLUSÃO DA VERBA NA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da indenização por acidente de trabalho inclui-se, quando devido, o repouso semanal remunerado. Referência: Dec-Lei nº 7.036, de 10.11.44, artigos 19, parágrafo único, e 33 e parágrafo único; Lei nº 605, de 05.01.49, art. 1º; Decreto nº 27.048, de 12.08.49, arts. 1º, 10 e 12, d; ERE 26.359, de 13.10.58 (R.T.J. 7/259); ERE 26.160, de 29.12.58 (R.T.J. 9/36); ERE 22.642, de 29.12.58 (R.T.J. 9/36) ERE 22.840, de 29.12.58 (R.T.J. 9/36) RE 39.686, de 16.12.58 (R.T.J. 9/33) RE 41.380, de 08.01.59 (R.T.J. 9/33). Sessão de 01-10-1964 DJ, Outubro - Adendo nº 3 - pág. 3.647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2026-10-16T16:14:43.599Z</dcterms:created>
  <dcterms:modified xsi:type="dcterms:W3CDTF">2026-10-16T16:14:43.599Z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