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Recurso: </w:t>
      </w:r>
      <w:r>
        <w:t xml:space="preserve">RE 26.359</w:t>
      </w:r>
    </w:p>
    <w:p/>
    <w:p>
      <w:r>
        <w:t xml:space="preserve">INCLUSÃO DA VERBA NA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da indenização por acidente de trabalho inclui-se, quando devido, o repouso semanal remunerado. Referência: Dec-Lei nº 7.036, de 10.11.44, artigos 19, parágrafo único, e 33 e parágrafo único; Lei nº 605, de 05.01.49, art. 1º; Decreto nº 27.048, de 12.08.49, arts. 1º, 10 e 12, d; ERE 26.359, de 13.10.58 (R.T.J. 7/259); ERE 26.160, de 29.12.58 (R.T.J. 9/36); ERE 22.642, de 29.12.58 (R.T.J. 9/36) ERE 22.840, de 29.12.58 (R.T.J. 9/36) RE 39.686, de 16.12.58 (R.T.J. 9/33) RE 41.380, de 08.01.59 (R.T.J. 9/33). Sessão de 01-10-1964 DJ, Outubro - Adendo nº 3 - pág. 3.647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2026-07-28T04:22:05.598Z</dcterms:created>
  <dcterms:modified xsi:type="dcterms:W3CDTF">2026-07-28T04:22:05.598Z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