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MOZART RUSSOMANO</w:t>
      </w:r>
    </w:p>
    <w:p/>
    <w:p>
      <w:r>
        <w:t xml:space="preserve">CONTROLE DE HORÁRIO OU DE FREQUÊNCIA — DISTINÇÃO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venia", entendo com razão o recorrente. Nem o E-27-(*) TST, nem o art. 1º da Lei 605/49, fazem distinção, com vistas ao gozo de repouso semanal ou feriados remunerados, em relação a haver controle de horário ou de freqüência, por parte do vendedor pracista. O fato objetivo é a relação de emprego existente entre as partes e não a forma de remuneração ou do trabalho prestados. (Precedentes Ac. 2ª Turma 7-12-80. Rel. MOZART RUSSOMANO, Ac. 3ª T. 1.817/79. Rel. Min. COQUEIJO COSTA. - Dou provimento ao recurso para julgar procedente o item "F" da inicial, em valores a serem apurados em liquidação de sentença. Proc. TST-RR-688/89, Ac. de 06-06-1989 Arquivo do EMFOR - TST/2.508 (*) "É devida a remuneração do repouso remunerado e dos dias feriados ao empregado comissionista, ainda que pracista." ("EMFOR", Nº 267).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E-27-TST (*) e o art. 1º da Lei 605/49 não fazem distinção, com vistas ao gozo de repouso semanal ou feriados remunerados, em relação a haver controle de horário ou de freqüência, por parte do vendedor pracista. O fato objetivo é a relação do emprego existente entre as partes e não a forma de remuneração ou do trabalho prestado.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2026-07-28T01:55:12.006Z</dcterms:created>
  <dcterms:modified xsi:type="dcterms:W3CDTF">2026-07-28T01:55:12.006Z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