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AUDIÊNCIA DE INSTRUÇÃO E JULGAMENTO</w:t>
      </w:r>
    </w:p>
    <w:p>
      <w:r>
        <w:rPr>
          <w:i/>
          <w:iCs/>
          <w:color w:val="666666"/>
        </w:rPr>
        <w:t xml:space="preserve">AUSÊNCIA DO ADVOGADO E DA PARTE</w:t>
      </w:r>
    </w:p>
    <w:p/>
    <w:p/>
    <w:p>
      <w:r>
        <w:t xml:space="preserve">CÔNJUGE SUPÉRSTITE — SUA LEGITIMIDADE PARA REPRESENTÁ-LO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Invocando o art. 12, inciso V, do CPC, a recorrente pede a extinção do processo sem julgamento do mérito, ao fundamento de que na data da propositura da ação a subscritora do instrumento de procuração não tinha poderes para representar o espólio. - O instrumento de procuração de fl. 06 foi outorgado pela viúva do empregado em 10 de maio de 1994, e a ação foi ajuizada no dia 15 de junho seguinte. Em 30 de setembro do mesmo ano, a viúva assinou o termo de compromisso de inventariante, regularizando a representação do espólio. - Nos precisos termos dos arts. 985 e 986 do CPC, até que o inventariante preste o compromisso, o espólio fica na posse do administrador provisório, que o representará ativa e passivamente. O cônjuge supérstite, estando na posse dos bens, tem legitimidade para representar o espólio até a nomeação do inventariante. - Rejeito, por isso, a preliminar. Ac. de 03-09-1996 DJSC 18-10-96 Arquivo do EMFOR S0051/596 EMENTA: - Empresas de grande porte, vêm exigindo de seus vendedores a inscrição no Conselho Regional dos Representantes Comerciais e o pagamento de INSS como autônomo para mascarar a relação de emprego. É justamente o caso dos autos, nos quais, muito embora presentes tais requisitos exigidos pela empresa, nota-se a subordinação jurídica do vendedor para com a reclamada. RESUMO DO ACÓRDÃO: - Divirjo do eminente Relator para dar provimento ao recurso do reclamante. - Empresas de grande porte, como a reclamada, vêm exigindo de seus vendedores a inscrição no Conselho Regional dos Representantes Comerciais e o pagamento de INSS autônomo como forma de mascarar a relação de emprego. - É justamente o caso dos autos, nos quais, muito embora presentes tais requisitos exigidos pela reclamada, notamos a subordinação jurídica do vendedor, senão vejamos. - O reclamante era vendedor exclusivo da reclamada, fato que ficou provado pelo depoimento do preposto à fl.. - Além disso, cobria área de vendas determinada pela empresa, região que compreendia o Estado do Espírito Santo, e era obrigado a fornecer relatórios mensais, como pode se ver do contrato celebrado, notadamente no art. 3º, b, e no art. 6º (fls.). - Não obstante esses fatos já demonstrarem a subordinação do obreiro, outro ainda mais relevante vem aos autos para infirmar as alegações da reclamada. - Trata-se da percepção pelo reclamante de ajuda de custo para despesas de viagem, conforme demonstrado através da correspondência de fl., onde a empresa esclarece, "verbis", que, "por absoluta liberalidade, a Amelco efetuou os seguintes pagamentos a título de reembolso de despesas de viagem". - Após, a empresa elenca diversas datas e valores, tudo em carta endereçada ao reclamante. - Ora, o recebimento das despesas deixa claro que o reclamante não assumia os riscos da atividade econômica, requisito fundamental e primeiro da e xistência de autonomia, e, sim, fazia parte da área-fim das atividades da reclamada. - O reclamante fornecia simplesmente a sua força de trabalho e, se recebia apenas comissões, é porque o salário era por produção e pago periodicamente em dia do mês previamente estabelecido, como restou incontroverso. - Não tinha também a faculdade de realização do serviço contratado através de agentes a ele subordinados, nem a liberdade de instalar negócio próprio para a venda dos produtos. - Enfim, por restar caracterizada a presença de subordinação para com a reclamada, dou provimento ao recurso para reconhecer o vínculo de emprego e condenar a reclamada a efetuar a anotação da CTPS referente a todo o período laboral. Ac. de 18-01-1996 DJES 07-03-96 Arquivo do EMFOR S0099/TRT EMENTÁRIO FORENSE. Agosto, 1998. Ano L. Nº 597 EMENTA: - A simples sujeição de uma das partes a ordens e instruções de outra no cumprimento da obrigação assumida, presente em todo e qualquer contrato de atividade, não se confunde com a subordinação jurídica exigida no contrato de trabalho. RESUMO DO ACÓRDÃO: - Inconformado com o julgado de origem que reconheceu o vínculo empregatício entre as partes litigantes, recorre o reclamado ainda alegando ter sido a prestação de trabalho pelo reclamante de natureza autônoma. - Compulsando os autos, verificamos que na verdade ocorreu um contrato particular de representação comercial, trabalhando o reclamante com autonomia, sem subordinação jurídica, excluindo a possibilidade da existência de um contrato de trabalho. Aliás, o MM. Juízo a quo reconheceu que o recorrido não produziu nenhuma prova do suposto contrato de trabalho mantido com 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Até que o inventariante preste o compromisso, o espólio fica na posse do administrador provisório, que o representará ativa e passivamente, tendo o cônjuge supérstite legitimidade para representá-lo até a nomeação do inventariante.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2026-09-10T22:45:48.234Z</dcterms:created>
  <dcterms:modified xsi:type="dcterms:W3CDTF">2026-09-10T22:45:48.234Z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