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/>
    <w:p>
      <w:r>
        <w:t xml:space="preserve">SEGURO DE VIDA E CAIXA BENEFICIENTE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recorrente, pois os referidos descontos decorrem de imposição legal (Lei nº 8.541/92), devendo ser condicionados, porém, à comprovação em juízo dos recolhimentos. - Ao exposto, dou provimento parcial ao recurso do reclamado, para que seja observada a dedução dos recolhimentos tributários, conforme fundamentação deste acórdão. - Recurso adesivo do reclamante: - Prospera o apelo. - Restringe-se o inconformismo aos descontos nos salários para caixa beneficiente e seguro de vida e de acidentes pessoais. O recorrido é parte legítima para responder a ação, porquanto foi o autor dos descontos. - Argumenta o Banco que tais descontos foram autorizados pelo recorrente. Acontece, porém, que se presume que a manifestação de vontade do reclamante, ao autorizar os descontos no ato da admissão, encontra-se viciada, pois ele está pressionado pela necessidade de conseguir o emprego. - De qualquer forma, ainda que fosse válida a autorização, os descontos em questão, por não serem previstos em lei, violam o disposto no art. 462 da CLT, impondo-se a sua devolução ao recorrente. - Ao exposto, dou provimento ao recurso adesivo do reclamante, para que lhes sejam devolvidas as importâncias descontadas indevidamente se seus salários (para seguro de vida e de acidentes pessoais e caixa beneficente). Ac. de 12-06-1995 Arquivo do EMFOR, TRT/IN 1146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efetuados nos salários do empregado para caixa beneficente e seguro de vida infringem o disposto no art. 462 da CLT, pois não são previstos em lei, tampouco oriundos de norma coletiva.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2026-10-26T03:22:17.581Z</dcterms:created>
  <dcterms:modified xsi:type="dcterms:W3CDTF">2026-10-26T03:22:17.581Z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