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SEGURO DE ACIDENTES PESSOAIS</w:t>
      </w:r>
    </w:p>
    <w:p>
      <w:r>
        <w:rPr>
          <w:i/>
          <w:iCs/>
          <w:color w:val="666666"/>
        </w:rPr>
        <w:t xml:space="preserve">ACIDENTE VASCULAR CEREBRAL</w:t>
      </w:r>
    </w:p>
    <w:p/>
    <w:p/>
    <w:p>
      <w:r>
        <w:t xml:space="preserve">IMPOSTO DE RENDA E PARCELAS PREVIDENCIÁRIAS — INCIDÊNCIA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Finalmente, as deduções das parcelas previdenciárias e de imposto de renda no crédito do reclamante, são devidas mesmo não previstas na sentença liquidanda porque decorrentes da legislação em vigor, mas sempre mediante a comprovação dos respectivos recolhimentos pela executada. - Em face ao exposto, dou provimento parcial ao agravo para determinar a dedução das parcelas previdenciárias e do imposto de renda. Ac. de 16-10-1995 RDT de 01/96, pág. 46 Arquivo do EMFOR, TRT/N 2.101 EMFOR 611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As deduções das parcelas previdenciárias e do imposto de renda no crédito do exequente são devidas, mesmo quando não previstas na sentença liquidanda, porque decorrentes de normas legais, mas sempre mediante a comprovação dos respectivos recolhimentos pelo executado.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2026-10-26T03:21:43.167Z</dcterms:created>
  <dcterms:modified xsi:type="dcterms:W3CDTF">2026-10-26T03:21:43.167Z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