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/>
    <w:p>
      <w:r>
        <w:t xml:space="preserve">IMPOSTO DE RENDA E PARCELAS PREVIDENCIÁRIAS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Finalmente, as deduções das parcelas previdenciárias e de imposto de renda no crédito do reclamante, são devidas mesmo não previstas na sentença liquidanda porque decorrentes da legislação em vigor, mas sempre mediante a comprovação dos respectivos recolhimentos pela executada. - Em face ao exposto, dou provimento parcial ao agravo para determinar a dedução das parcelas previdenciárias e do imposto de renda. Ac. de 16-10-1995 RDT de 01/96, pág. 46 Arquivo do EMFOR, TRT/N 2.101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deduções das parcelas previdenciárias e do imposto de renda no crédito do exequente são devidas, mesmo quando não previstas na sentença liquidanda, porque decorrentes de normas legais, mas sempre mediante a comprovação dos respectivos recolhimentos pelo executado.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2026-09-10T23:17:42.151Z</dcterms:created>
  <dcterms:modified xsi:type="dcterms:W3CDTF">2026-09-10T23:17:42.151Z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