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Julgado em: </w:t>
      </w:r>
      <w:r>
        <w:t xml:space="preserve">13/05/1986</w:t>
      </w:r>
    </w:p>
    <w:p/>
    <w:p>
      <w:r>
        <w:t xml:space="preserve">FALTA DECORRENTE DE PARALISAÇÃO — CARACTERIZAÇÃO COMO GREVE - SE DEVE SER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 do ilustre prolator da sentença, divergimos do seu posicionamento, embora efetivamente não tenha sido declarada greve pelo sindicado dos recorridos, condição "sine qua non" para o reconhecimento da existência do estado de greve. - A nosso ver, no entanto, não é o que importa considerar na espécie. Não se trata de saber se os empregados se encontravam ou não devidamente autorizados para realizar movimentos paredistas, a fim de que se cingisse o litígio aos aspectos de ordem formal da paralisação. Leve-se em conta que a greve é um fato que ocorre independentemente de uma categoria ter ou não ter direito a promovê-lo. Além disso, verificando-se esse tipo de paralisação, não cabe ao empregador perquerir se os empregados estão ou não autorizados a fazê-la, segundo os ditames legais, nem de classificar a atitude dos mesmos como de greve ou não. Apenas constata o fato que está ocorrendo. A exata classificação da parada do serviço pouco importa para que se tenha como caracterizada a falta praticada pelos empregados que se agrava quando não atendidos os pressupostos legais capazes de legitimar o ato dos prestadores. De outra parte, tivessem os trabalhadores aludido que se encontravam em greve devidamente atendidas as exigências de lei, aí sim, incumbia ao empregador informar-se se efetivamente tal se verificava, atendidos os pressupostos da legislação específica. Dentro deste prisma é que ao Judiciário cabia examinar se a greve estava ou não devidamente caracterizada na forma da lei. - Concretamente no caso, o que se constata de forma indesmentível é que houve a paralisação do trabalho e que esta foi manifesta, com prejuízos ao empregador, impondo que tomasse qualquer providência de ordem disciplinar sob pena de descaracterizar o seu poder de comando. A sanção de que se valeu o recorrente, descontando o dia do salário e o repouso correspondente, está perfeitamente dimensionada à natureza da falta em que incorreram seus empregados. - Acordam por maioria de votos os Juízes... em dar provimento ao recurso, para absolver a reclamada da condenação que lhe foi imposta. Proc. TRT-8.800/85, Julgado em 14-05-1986 Arquivo do EMFOR, TRT/427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Desnecessário se perquirir acerca da caracterização ou não da paralisação dos empregados como greve, para que lhes suprima o pagamento do salário. O que importa considerar é que houve a paralisação dos serviços injustificadamente, estando correto o procedimento do empregador ao efetuar desconto do salário deste dia e do repouso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2026-10-16T16:14:28.045Z</dcterms:created>
  <dcterms:modified xsi:type="dcterms:W3CDTF">2026-10-16T16:14:28.045Z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