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16/04/1985</w:t>
      </w:r>
    </w:p>
    <w:p/>
    <w:p>
      <w:r>
        <w:t xml:space="preserve">INAPLICABILIDADE DO PRINCÍPIO AO EMPREGADO QUE TEM SALÁRIO ESTIPULADO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MÉRITO - O fato de outras chefias vencerem salários superiores aos percebidos pelo Recorrido, a que a empresa não concedeu maiores salários que o do cargo efetivo, não autoriza a interferência da Justiça do Trabalho para equalizar tais salários sobre o pretexto de aplicação do princípio de igualdade. A norma do art. 460, da CLT, não se aplica ao empregado que tem salário estipulado pelo empregador. - Dou, pois, provimento ao recurso, para julgar improcedente a reclamação, "data venia" do parecer da douta Procuradoria Geral. Proc. TST-RR--443/84, Julgado em 17-04-1985 VENCIDOS OS MINISTROS MARCO AURÉLIO (Relator) e JOÃO WAGNER, que não conheciam da revista, E ILDÉLIO MARTINS, (Relator), que conhecia também por violação, e, no mérito, por maioria, dar-lhe provimento, para julgar improcedente o pedido inicial. Arquivo do EMFOR, TST/1.879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artigo 460, da Consolidação das Leis Trabalhistas, não se aplica ao empregado que tem salário estipulado pelo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2026-10-16T18:19:56.347Z</dcterms:created>
  <dcterms:modified xsi:type="dcterms:W3CDTF">2026-10-16T18:19:56.348Z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