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16/04/1985</w:t>
      </w:r>
    </w:p>
    <w:p/>
    <w:p>
      <w:r>
        <w:t xml:space="preserve">INAPLICABILIDADE DO PRINCÍPIO AO EMPREGADO QUE TEM SALÁRIO ESTIPULADO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MÉRITO - O fato de outras chefias vencerem salários superiores aos percebidos pelo Recorrido, a que a empresa não concedeu maiores salários que o do cargo efetivo, não autoriza a interferência da Justiça do Trabalho para equalizar tais salários sobre o pretexto de aplicação do princípio de igualdade. A norma do art. 460, da CLT, não se aplica ao empregado que tem salário estipulado pelo empregador. - Dou, pois, provimento ao recurso, para julgar improcedente a reclamação, "data venia" do parecer da douta Procuradoria Geral. Proc. TST-RR--443/84, Julgado em 17-04-1985 VENCIDOS OS MINISTROS MARCO AURÉLIO (Relator) e JOÃO WAGNER, que não conheciam da revista, E ILDÉLIO MARTINS, (Relator), que conhecia também por violação, e, no mérito, por maioria, dar-lhe provimento, para julgar improcedente o pedido inicial. Arquivo do EMFOR, TST/1.879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do artigo 460, da Consolidação das Leis Trabalhistas, não se aplica ao empregado que tem salário estipulado pelo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2026-07-28T01:27:43.992Z</dcterms:created>
  <dcterms:modified xsi:type="dcterms:W3CDTF">2026-07-28T01:27:43.992Z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