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12/09/1983</w:t>
      </w:r>
    </w:p>
    <w:p/>
    <w:p>
      <w:r>
        <w:t xml:space="preserve">SE PODE SER DEVIDO SEM A RESCISÃO DO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Egrégia Turma Regional negou provimento ao ordinário do empregado, por entender que a condenação dos salários em dobro pressupõe a extinção do contrato de trabalho. Inconformado, o reclamante interpôs revista, cujo processamento foi denegado, mas acabou subindo por determinação de decisão em Agravo de Instrumento. Não houve contra-razões. Opina a douta Procuradoria-Geral pelo provimento do recurso. - É o relatório. - I - Conheço pela divergência.. - II - Mérito - Trata-se de saber se a condenação dos salários em dobro, só é cabível nos casos de extinção do contrato de trabalho. Ante o termo expressos do art. 467, da Consolidação das Leis do Trabalho, que fala em &lt;&lt;caso de rescisão do contrato de trabalho&gt;&gt;, é impossível decidir em favor do pleiteante. Pelo princípio da justiça, a lei deveria dispor de maneira diferente, mas, restringindo a dobra salarial às hipóteses de rescisão, não se pode decidir senão como julgou o segundo grau de jurisdição. III - Nego provimento ao recurso. Proc. TST-RR-6.042, Julgado em 13-09-1983 Arquivo do EMFOR, TST/2.031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dobra salarial só é devida em caso de rescisão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2026-10-16T16:09:35.316Z</dcterms:created>
  <dcterms:modified xsi:type="dcterms:W3CDTF">2026-10-16T16:09:35.316Z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