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12/09/1983</w:t>
      </w:r>
    </w:p>
    <w:p/>
    <w:p>
      <w:r>
        <w:t xml:space="preserve">SE PODE SER DEVIDO SEM A RESCISÃO DO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Egrégia Turma Regional negou provimento ao ordinário do empregado, por entender que a condenação dos salários em dobro pressupõe a extinção do contrato de trabalho. Inconformado, o reclamante interpôs revista, cujo processamento foi denegado, mas acabou subindo por determinação de decisão em Agravo de Instrumento. Não houve contra-razões. Opina a douta Procuradoria-Geral pelo provimento do recurso. - É o relatório. - I - Conheço pela divergência.. - II - Mérito - Trata-se de saber se a condenação dos salários em dobro, só é cabível nos casos de extinção do contrato de trabalho. Ante o termo expressos do art. 467, da Consolidação das Leis do Trabalho, que fala em &lt;&lt;caso de rescisão do contrato de trabalho&gt;&gt;, é impossível decidir em favor do pleiteante. Pelo princípio da justiça, a lei deveria dispor de maneira diferente, mas, restringindo a dobra salarial às hipóteses de rescisão, não se pode decidir senão como julgou o segundo grau de jurisdição. III - Nego provimento ao recurso. Proc. TST-RR-6.042, Julgado em 13-09-1983 Arquivo do EMFOR, TST/2.031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dobra salarial só é devida em caso de rescisão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2026-07-28T03:34:17.863Z</dcterms:created>
  <dcterms:modified xsi:type="dcterms:W3CDTF">2026-07-28T03:34:17.863Z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