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06/02/1985</w:t>
      </w:r>
    </w:p>
    <w:p/>
    <w:p>
      <w:r>
        <w:t xml:space="preserve">CONTROVÉRSIA QUANTO AO MONTANTE — PARTE INCONTROVERSA - SEU PAGAMENTO EM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Pena do artigo 467 da CLT - Ante o pressuposto fático de que o reclamante não era assíduo, realmente o montante dos salários resultou controvertido, mas não estes. Deveria, pois, a reclamada ter pago "à data do seu comparecimento ao tribunal do trabalho, a parte incontroversa dos mesmos salários, sob pena de ser, quanto a essa parte, condenada a pagá-la em dobro" (art. 467 da CLT). Conheço por violação do mencionado e lhe dou provimento. - Em resumo, dou provimento à revista do reclamante, para que seja restaurada a decisão de primeiro grau, quanto aos dois pontos versados no recurso. Proc. TST-RR-7.399/83, Julgado em 07-02-1985 Arquivo do EMFOR, TST/1.857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controvérsia é quanto ao montante dos salários e não quanto a eles propriamente, o empregador deve pagar, à data do seu comparecimento a juízo, a parte incontroversa dos mesmos salários sob pena de ser quanto a essa parte, condenado a pagá-la em dobro.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2026-10-16T17:23:08.461Z</dcterms:created>
  <dcterms:modified xsi:type="dcterms:W3CDTF">2026-10-16T17:23:08.461Z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