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06/02/1985</w:t>
      </w:r>
    </w:p>
    <w:p/>
    <w:p>
      <w:r>
        <w:t xml:space="preserve">CONTROVÉRSIA QUANTO AO MONTANTE — PARTE INCONTROVERSA - SEU PAGAMENTO EM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Pena do artigo 467 da CLT - Ante o pressuposto fático de que o reclamante não era assíduo, realmente o montante dos salários resultou controvertido, mas não estes. Deveria, pois, a reclamada ter pago "à data do seu comparecimento ao tribunal do trabalho, a parte incontroversa dos mesmos salários, sob pena de ser, quanto a essa parte, condenada a pagá-la em dobro" (art. 467 da CLT). Conheço por violação do mencionado e lhe dou provimento. - Em resumo, dou provimento à revista do reclamante, para que seja restaurada a decisão de primeiro grau, quanto aos dois pontos versados no recurso. Proc. TST-RR-7.399/83, Julgado em 07-02-1985 Arquivo do EMFOR, TST/1.857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controvérsia é quanto ao montante dos salários e não quanto a eles propriamente, o empregador deve pagar, à data do seu comparecimento a juízo, a parte incontroversa dos mesmos salários sob pena de ser quanto a essa parte, condenado a pagá-la em dobro.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2026-07-28T03:44:36.922Z</dcterms:created>
  <dcterms:modified xsi:type="dcterms:W3CDTF">2026-07-28T03:44:36.922Z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