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 NORMATIVA</w:t>
      </w:r>
    </w:p>
    <w:p>
      <w:r>
        <w:rPr>
          <w:i/>
          <w:iCs/>
          <w:color w:val="666666"/>
        </w:rPr>
        <w:t xml:space="preserve">PESSOAS JUR DE DIREITO PÚBL INTERNO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TRT-RO</w:t>
      </w:r>
    </w:p>
    <w:p>
      <w:r>
        <w:rPr>
          <w:b/>
          <w:bCs/>
        </w:rPr>
        <w:t xml:space="preserve">Relator: </w:t>
      </w:r>
      <w:r>
        <w:t xml:space="preserve">JOSÉ CARLOS DA FONSECA</w:t>
      </w:r>
    </w:p>
    <w:p/>
    <w:p>
      <w:r>
        <w:t xml:space="preserve">APLICAÇÃO RESTRITA AOS QUE PERCEBEM SALÁRIO MÍNIMO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não tenham sido juntadas as normas coletivas correspondentes ao período integral do contrato, havendo apenas a de 93/94 (fl. 173), esta norma permite-nos concluir, por meio da cláusula 46 (fl. 182), ter sido o fornecimento da alimentação para o trabalho, pois era permitido ressarcimento no teto de 30% do bandejão fornecido pelo SESI. - A categoria a que congrega o Reclamante - trabalhadores na construção civil - sabidamente tem direito à alimentação por convenção rotineiramente ajustada sem natureza salarial. - Pelo teor da norma em anexo, e também por se tratar de empregado da construção civil, mantenho a sentença. - Por outro lado, já tive oportunidade de expressar entendimento no seguinte sentido, verbis: "SALÁRIO IN NATURA - ALIMENTAÇÃO - INTEGRAÇÃO. O tíquete, seja ele refeição ou alimentação, não tem o perfil de contraprestação pelo trabalho prestado. Seu fornecimento ao trabalhador tem finalidade até mesmo etimológica, alimentar. Insere-se no contexto contratual ou institucional, onde a mão-de-obra é despendida com objetivo nutricional. O tíquete-alimentação, porque destinado ao mesmo fim alimentar, também não foge a essa regra. Nessa ordem de idéias, o benefício deve ser visto quanto a sua realidade institucional, assumindo o caráter de ajuda de custo ao trabalhador em relação a um bem da vida essencial, como é o caso do vale-transporte. A concessão do benefício tem previsão legal insculpida no § 2º do art. 457 da CLT, que a autoriza sem integração ao salário, reforçado pelas disposições do § 2º do artigo seguinte, pois ao empregador tanto interessa proteger o empregado de acidentes - fornecendo-lhe equipamentos de proteção ou outros acessórios necessários para o trabalho - como, principalmente manter-lhe a saúde, onde, não raro, por deficiência nutricional, ocorrem acidentes de trabalho. O fato de o empregador estar ou não vinculado ao Programa de Alimentação ao Trabalhador - PAT é irrelevante para o deslinde da quaestio, por objetivar meramente efeitos de beneficiar as instituições junto ao Fisco. Os incentivos fiscais visam exatamente a estimular a concessão da ajuda; mas, se por outro lado, estabelece-se desequilíbrio, com decisões judiciais determinando a incorporação dos respectivos valores, evidentem ente que a tendência natural será a retratação em face da subtração do capital atualmente empatado entre o incentivo fiscal e o custo da ajuda" (TRT-RO 5.494/94; Ac. 1ª T nº 3.483/95; Rel. Juíza TEREZINHA CÉLIA KINEIPP OLIVEIRA, julg. em 14.11.95). - Assim, por mais este motivo, mantenho a sentença. Ac. de 02-07-1996 DJU 02-08-96 Arquivo do EMFOR S0043/596 EMENTA: - Se o uso do veículo da empresa perfaz-se de modo amplo e irrestrito pelo empregado que o recebe o qual pode destiná-lo ao lazer em horários alheios à jornada de trabalho ou nos dias de repouso, por liberalidade expressa ou tácita do empregador, nestes períodos identifica-se como salário-utilidade. RESUMO DO ACÓRDÃO: - ... Esta Corte Superior, contudo, tem entendido, como o aresto recorrido, que o veículo, como qualquer outro bem fornecido pelo empregad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PERCENTUAIS FIXADOS EM LEI RELATIVOS AO SALÁRIO "IN NATURA" APENAS PERTINEM ÀS HIPÓTESES EM QUE O EMPREGADO PERCEBE SALÁRIO-MÍNIMO, APURANDO-SE, NAS DEMAIS, O REAL VALOR DA UTILIDADE. Referências: CLT, arts. 8, 82 e 458. DJ de 31-10-86. EMFOR 460 EMENTA: - O tíquete, seja ele refeição ou alimentação, não tem o perfil de contraprestação pelo trabalho prestado. Seu fornecimento ao trabalhador tem finalidade até mesmo etimológica, alimentar. Insere-se no contexto contratual ou institucional, onde a mão-de-obra é despendida com objetivo nutricional. O tíquete-alimentação, porque destinado ao mesmo fim alimentar, também não foge a essa regra. Nessa ordem de idéias, o benefício deve ser visto quanto a sua realidade institucional, assumindo o caráter de ajuda de custo ao trabalhador em relação a um bem da vida essencial, como é o caso do vale-transporte. A concessão do benefício tem previsão legal insculpida no § 2º do art. 457 da CLT, que a autoriza sem integração ao salário, reforçado pelas disposições do § 2º do artigo seguinte, pois ao empregador tanto interessa proteger o empregado de acidentes - fornecendo-lhe equipamentos de proteção ou outros acessórios necessários para o trabalho -, como, principalmente, manter-lhe a saúde, onde não raro, por deficiência nutricional, ocorrem acidentes de trabalho. O fato de o empregador estar ou não vinculado ao Programa de Alimentação ao Trabalhador - PAT é irrelevante para o deslinde da quaestio, por objetivar meramente efeitos de beneficiar as instituições junto ao Fisco. Os incentivos fiscais visam exatamente a estimular a concessão da ajuda; mas, se por outro lado, estabelece-se desequilíbrio, com decisões judiciais determinando a incorporação dos respectivos valores, evidentemente que a tendência natural será a retração em face da subtração do capital atualmente empatado entre o incentivo fiscal e o custo da ajuda.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2026-10-16T16:11:47.627Z</dcterms:created>
  <dcterms:modified xsi:type="dcterms:W3CDTF">2026-10-16T16:11:47.627Z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