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 NORMATIVA</w:t>
      </w:r>
    </w:p>
    <w:p>
      <w:r>
        <w:rPr>
          <w:i/>
          <w:iCs/>
          <w:color w:val="666666"/>
        </w:rPr>
        <w:t xml:space="preserve">PESSOAS JUR DE DIREITO PÚBL INTERNO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SENTENÇA QUE O CONCEDE FUNDADA EM SENTENÇA NORMATIVA — QUANDO NÃO OFENDE O ORDENAMENTO JURÍDICO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ofende o ordenamento jurídico a sentença condenatória que atendeu pretensão de recebimento formulada por trabalhador rural com fundamento em sentença normativa, pois é justamente este instrumento legal que justifica a atendibilidade do pedido, afastando de pronto, qualquer ofensa a dispositivos constitucionais. - Se o deferimento do salário-família efetivou-se por força de sentença normativa, somente com a desconstituição deste é que desapareceria a previsão legal, o que inocorre. - Há que ser confirmada a decisão recorrida. Nego provimento ao presente recurso ordinário. Proc. TST-RO-AR-0423/85, Ac. de 06-12-1989 Arquivo do EMFOR - TST/2.701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"Não ofende ao ordenamento jurídico a sentença condenatória que atendeu pretensão de salário-família de trabalhador rural fundada em sentença normativa, sendo inadmissível ação rescisória que tem por escopo exclusivo a sua desconstituição.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2026-07-28T04:27:47.465Z</dcterms:created>
  <dcterms:modified xsi:type="dcterms:W3CDTF">2026-07-28T04:27:47.465Z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