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20/05/1986</w:t>
      </w:r>
    </w:p>
    <w:p/>
    <w:p>
      <w:r>
        <w:t xml:space="preserve">DIREITO RECONHECIDO APENAS AOS TRABALHADORES URBANOS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Nas razões do recurso sustenta a Reclamada que o Regional, decidindo pela aplicabilidade do art. 165, inciso II, da Constituição Federal, violou a Lei nº 4.266 e a Lei Complementar nº 11, além de divergir de outros julgados. - Conheço por violação do art. 165, inciso II, da Constituição Federal. - No mérito, à luz do Enunciado 227 da Súmula deste Tribunal, a matéria se acha pacificada, pelo que dou provimento ao recurso para julgar improcedente a reclamatória. Proc. TST-RR-5.051/85.1, Julgado em 21-05-1986 Arquivo do EMFOR, TST/1.964 (*) "O salário-família somente devido aos trabalhadores urbanos, não alcançando os rurais, ainda que prestem serviços no campo, a empresa agro-industrial." ("EMFOR", Nº 453).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indevida aos trabalhadores rurais a vantagem do salário-família, ainda que prestem serviço no campo, à empresa "agro-industrial" - Enunciado 227 da Súmula deste Tribunal.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2026-10-16T17:21:03.655Z</dcterms:created>
  <dcterms:modified xsi:type="dcterms:W3CDTF">2026-10-16T17:21:03.655Z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