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20/05/1986</w:t>
      </w:r>
    </w:p>
    <w:p/>
    <w:p>
      <w:r>
        <w:t xml:space="preserve">DIREITO RECONHECIDO APENAS AOS TRABALHADORES URBANOS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Nas razões do recurso sustenta a Reclamada que o Regional, decidindo pela aplicabilidade do art. 165, inciso II, da Constituição Federal, violou a Lei nº 4.266 e a Lei Complementar nº 11, além de divergir de outros julgados. - Conheço por violação do art. 165, inciso II, da Constituição Federal. - No mérito, à luz do Enunciado 227 da Súmula deste Tribunal, a matéria se acha pacificada, pelo que dou provimento ao recurso para julgar improcedente a reclamatória. Proc. TST-RR-5.051/85.1, Julgado em 21-05-1986 Arquivo do EMFOR, TST/1.964 (*) "O salário-família somente devido aos trabalhadores urbanos, não alcançando os rurais, ainda que prestem serviços no campo, a empresa agro-industrial." ("EMFOR", Nº 453).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indevida aos trabalhadores rurais a vantagem do salário-família, ainda que prestem serviço no campo, à empresa "agro-industrial" - Enunciado 227 da Súmula deste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2026-07-28T01:32:34.941Z</dcterms:created>
  <dcterms:modified xsi:type="dcterms:W3CDTF">2026-07-28T01:32:34.941Z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