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44.776</w:t>
      </w:r>
    </w:p>
    <w:p/>
    <w:p>
      <w:r>
        <w:t xml:space="preserve">PRAZO — VACÂNCIA DE SESSENTA DIAS - NÃO SUJEIÇÃO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 sujeita á vacância de 60 dias a vigência de novos níveis de salário mínimo. Referência: CLT, art. 116; Lei de Introdução ao Código Civil, art. 1º. RE 44.776, de 04.08.61. ERE 48.454, de 22.06.62. Aprovada em sessão de 13-12-1963 - pág. 101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2026-10-16T16:16:57.499Z</dcterms:created>
  <dcterms:modified xsi:type="dcterms:W3CDTF">2026-10-16T16:16:57.499Z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