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r>
        <w:rPr>
          <w:b/>
          <w:bCs/>
        </w:rPr>
        <w:t xml:space="preserve">Tribunal: </w:t>
      </w:r>
      <w:r>
        <w:t xml:space="preserve">TST</w:t>
      </w:r>
    </w:p>
    <w:p/>
    <w:p>
      <w:r>
        <w:t xml:space="preserve">ESTABELECIMENTOS FINANCEIROS — DISPÕE SOBRE</w:t>
      </w:r>
    </w:p>
    <w:p/>
    <w:p>
      <w:pPr>
        <w:pStyle w:val="Heading2"/>
      </w:pPr>
      <w:r>
        <w:rPr>
          <w:b/>
          <w:bCs/>
        </w:rPr>
        <w:t xml:space="preserve">Ementa</w:t>
      </w:r>
    </w:p>
    <w:p>
      <w:r>
        <w:t xml:space="preserve">LEI Nº 7.102, DE 20 DE JULHO DE 1983 Segurança para estabelecimentos financeiros, empresas de vigilância e transporte de valores Art. 1º. É vedado o funcionamento de qualquer estabelecimento financeiro onde haja guarda de valores ou movimento de numerário, que não possua sistema de segurança aprovado pelo Ministério da Justiça, na forma desta lei.(Redação dada pela Lei nº 9.017, de 30.03.95) Parágrafo único. Os estabelecimentos financeiros referidos neste artigo compreendem bancos oficiais ou privados, caixas econômicas, sociedades de crédito, associações de poupança, suas agências, subagências e seções. Art. 2º. O sistema de segurança referido no artigo anterior inclui pessoas adequadamente preparadas, assim chamadas vigilantes; alarme capaz de permitir, com segurança, comunicação entre o estabelecimento financeiro e outro da mesma instituição, empresa de vigilância ou órgão policial mais próximo; e, pelo menos, mais um dos seguintes dispositivos: I - equipamentos elétricos, eletrônicos e de filmagens que possibilitem a identificação dos assaltantes; II - artefatos que retardem a ação dos criminosos, permitindo sua perseguição, identificação ou captura; e III - cabina blindada com permanência ininterrupta de vigilante durante o expediente para o público e enquanto houver movimentação de numerário no interior do estabelecimento. Parágrafo único. (Revogado pela Lei nº 9.017/95) Art. 3º. A vigilância ostensiva e o transporte de valores serão executados: I - por empresa especializada contratada; II - pelo próprio estabelecimento financeiro, desde que organizado e preparado para tal fim, com pessoal próprio, e previamente autorizado pelo Ministério da Justiça. Parágrafo único. Nos estabelecimentos financeiros federais ou estaduais, o serviço de vigilância ostensiva poderá ser desempenhado pelas Polícias Militares, a critério do Governo da respectiva Unidade da Federação. (Redação do inciso II e do parágrafo único dada pela Lei nº 9.017/95) - ......................... Art. 10. São considerados como segurança privada as atividades desenvolvidas em prestação de serviços com a finalidade de: I - proceder a vigilância patrimonial das instituições financeiras e de outros estabelecimentos, públicos ou privados, bem como a segurança de pessoas físicas; II - realizar o transporte de valores ou garantir o transporte de qualquer outro tipo de carga. § 1º. Os serviços de vigilância e de transporte de valores poderão ser executados por uma mesma empresa. § 2º. As empresas especializadas em prestação de serviços de segurança, vigilância e transporte de valores, constituídas sob a forma de empresas privadas, além das hipóteses previstas nos inciso do caput deste artigo, poderão se prestar ao exercício das atividades de segurança privada a pessoas; a estabelecimentos comerciais, industriais, de prestação de serviços e residenciais; a entidades sem fins lucrativos; e órgãos e empresas públicas. § 3º. Serão regidas por esta Lei, pelos regulamentos dela decorrentes e pelas disposições da legislação civil, comercial, trabalhista, previdenciária e penal, as empresas definidas no parágrafo anterior. § 4º. As empresas que tenham objeto econômico diverso da vigilância ostensiva e do transporte de valores, que utilizem pessoal de quadro funcional próprio, para execução dessas atividades, ficam obrigadas ao cumprimento do disposto nesta Lei e demais legislações pertinentes. § 5º. (VETADO) § 6º. (VETADO) (Redação dada ao art. pela Lei nº 8.863/94) - ........................ Art. 15. Vigilante, para os efeitos desta Lei, é o empregado contratado para a execução das atividades definidas nos incisos I e II do caput e §§ 2º, 3º e 4º do art. 10. (Redação dada pela Lei nº 8.863/94) Art. 16. Para o exercício da profissão, o vigilante preencherá os seguintes requisitos: I - ser brasil eiro; II - ter idade mínima de 21 (vinte e um) anos; III - ter instrução correspondente à quarta série do primeiro grau; IV - ter sido aprovado, em curso de formação de vigilante, realizado em estabelecimento com funcionamento autorizado nos termos desta Lei. (Redação dada pela Lei nº 8.863, de 28.03.94) V - ter sido aprovado em exame de saúde física, mental e psicotécnico; VI - não ter antecedentes criminais registrados; e VII - estar quite com as obrigações eleitorais e militares. Parágrafo único. O requisito previsto no inciso III deste artigo não se aplica aos vigilantes admitidos até a publicação da presente lei. Art. 17. O exercício da profissão de vigilante requer pré</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2026-07-28T01:54:24.844Z</dcterms:created>
  <dcterms:modified xsi:type="dcterms:W3CDTF">2026-07-28T01:54:24.844Z</dcterms:modified>
</cp:coreProperties>
</file>

<file path=docProps/custom.xml><?xml version="1.0" encoding="utf-8"?>
<Properties xmlns="http://schemas.openxmlformats.org/officeDocument/2006/custom-properties" xmlns:vt="http://schemas.openxmlformats.org/officeDocument/2006/docPropsVTypes"/>
</file>