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CONVENÇÃO COLETIVA</w:t>
      </w:r>
    </w:p>
    <w:p>
      <w:r>
        <w:rPr>
          <w:i/>
          <w:iCs/>
          <w:color w:val="666666"/>
        </w:rPr>
        <w:t xml:space="preserve">DESCUMPRIMENTO DE CLÁUSULA</w:t>
      </w:r>
    </w:p>
    <w:p/>
    <w:p>
      <w:r>
        <w:rPr>
          <w:b/>
          <w:bCs/>
        </w:rPr>
        <w:t xml:space="preserve">Recurso: </w:t>
      </w:r>
      <w:r>
        <w:t xml:space="preserve">RE -194.662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EXISTÊNCIA DE FATO CONSTITUTIVO, MODIFICATIVO OU EXTINTIVO DO DIREITO — COMO DEVE PROCEDER O JUIZ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 é tempestivo, com advogado devidamente habilitado nos autos (fl. 181) e com preparo a contento. CONHECIMENTO JUNTADA DA CERTIDÃO DE FL. 229 - Trata-se daquela matéria em que o recurso em dissídio coletivo e o TST excluem a cláusula. - A Reclamada, à fl. 229, requereu juntada de certidão de trânsito em julgado do RE-194.662, em que constam, como partes, SINDIQUÍMICA - Sindicato dos Trabalhadores nas Indústrias e Empresas - PE - recorrente e SINPER - Sindicato da Indústria Petroquímica e de Resinas Sintéticas do Espírito Santo - recorrido. - A citada certidão comprova que, só após o julgamento do Recurso de Revista, houve o trânsito em julgado da decisão normativa, que declarou a insubsistência da cláusula 4ª da Convenção Coletiva, a qual embasou o pedido nesta ação. - O artigo 462 do CPC dispõe: "Se, depois da propositura da ação, algum fato constitutivo, modificativo ou extintivo do direito influir no julgamento da lide, caberá ao juiz tomá-lo em consideração, de ofício ou a requerimento da parte, no momento de proferir a sentença." - Ante o exposto, CONHEÇO dos Embargos, por aplicação do art. 462 do CPC. MÉRITO JUNTADA DA CERTIDÃO DE FL. 229 - A conseqüência lógica do conhecimento do apelo é o PROVIMENTO dos Embargos para, em face do fato modificativo, noticiado pela certidão de fl. 229, julgar improcedente a Ação. Ac. de 14-04-1998 DJ 14-08-98 Arquivo do EMFOR, TST/N 1474 EMFOR 606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Se, depois da propositura da ação, algum fato constitutivo, modificativo ou extintivo do direito influir no julgamento da lide, caberá ao Juiz tomá-lo em consideração, de ofício ou a requerimento da parte, no momento de proferir a sentença. (art. 462/CPC)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2026-07-28T01:58:09.993Z</dcterms:created>
  <dcterms:modified xsi:type="dcterms:W3CDTF">2026-07-28T01:58:09.993Z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