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CONVENÇÃO COLETIVA</w:t>
      </w:r>
    </w:p>
    <w:p>
      <w:r>
        <w:rPr>
          <w:i/>
          <w:iCs/>
          <w:color w:val="666666"/>
        </w:rPr>
        <w:t xml:space="preserve">DESCUMPRIMENTO DE CLÁUSULA</w:t>
      </w:r>
    </w:p>
    <w:p/>
    <w:p>
      <w:r>
        <w:rPr>
          <w:b/>
          <w:bCs/>
        </w:rPr>
        <w:t xml:space="preserve">Recurso: </w:t>
      </w:r>
      <w:r>
        <w:t xml:space="preserve">RE -194.662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EXISTÊNCIA DE FATO CONSTITUTIVO, MODIFICATIVO OU EXTINTIVO DO DIREITO — COMO DEVE PROCEDER O JUIZ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é tempestivo, com advogado devidamente habilitado nos autos (fl. 181) e com preparo a contento. CONHECIMENTO JUNTADA DA CERTIDÃO DE FL. 229 - Trata-se daquela matéria em que o recurso em dissídio coletivo e o TST excluem a cláusula. - A Reclamada, à fl. 229, requereu juntada de certidão de trânsito em julgado do RE-194.662, em que constam, como partes, SINDIQUÍMICA - Sindicato dos Trabalhadores nas Indústrias e Empresas - PE - recorrente e SINPER - Sindicato da Indústria Petroquímica e de Resinas Sintéticas do Espírito Santo - recorrido. - A citada certidão comprova que, só após o julgamento do Recurso de Revista, houve o trânsito em julgado da decisão normativa, que declarou a insubsistência da cláusula 4ª da Convenção Coletiva, a qual embasou o pedido nesta ação. - O artigo 462 do CPC dispõe: "Se, depois da propositura da ação, algum fato constitutivo, modificativo ou extintivo do direito influir no julgamento da lide, caberá ao juiz tomá-lo em consideração, de ofício ou a requerimento da parte, no momento de proferir a sentença." - Ante o exposto, CONHEÇO dos Embargos, por aplicação do art. 462 do CPC. MÉRITO JUNTADA DA CERTIDÃO DE FL. 229 - A conseqüência lógica do conhecimento do apelo é o PROVIMENTO dos Embargos para, em face do fato modificativo, noticiado pela certidão de fl. 229, julgar improcedente a Ação. Ac. de 14-04-1998 DJ 14-08-98 Arquivo do EMFOR, TST/N 1474 EMFOR 606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Se, depois da propositura da ação, algum fato constitutivo, modificativo ou extintivo do direito influir no julgamento da lide, caberá ao Juiz tomá-lo em consideração, de ofício ou a requerimento da parte, no momento de proferir a sentença. (art. 462/CPC)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2026-10-16T16:31:22.040Z</dcterms:created>
  <dcterms:modified xsi:type="dcterms:W3CDTF">2026-10-16T16:31:22.040Z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