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Recurso: </w:t>
      </w:r>
      <w:r>
        <w:t xml:space="preserve">RE 131.032-4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OCTÁVIO GALLOTTI</w:t>
      </w:r>
    </w:p>
    <w:p/>
    <w:p>
      <w:r>
        <w:t xml:space="preserve">AÇÃO RESULTANTE DE ACORDO COLETIVO NÃO HOMOLOGADO PELA JUSTIÇA DO TRABALHO — COMPETÊNCIA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pacífico, na 1ª Seção deste STJ, que compete à Justiça Estadual conhecer e julgar todas as ações relativas às contribuições sindicais estabelecidas em lei ou em convenções e acordos coletivos não homologados pela Justiça do Trabalho. - No mesmo sentido é a jurisprudência do Pretório Excelso, expressa nos REsps. 130.552-5-SP, Rel. Min. MOREIRA ALVES; RE 131.032-4 - DF, Rel. Min. SEPÚLVEDA PERTENCE; RE nº 131.017-1 - DF, Rel. Min. OCTÁVIO GALLOTTI, como refere o correto parecer do ilustre Subprocurador JOSÉ ARNALDO DA FONSECA. Ac. de 24-03-1992 Arquivo do EMFOR - STJ/918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conhecer e julgar todas as ações relativas à cobrança de contribuições sindicais estabelecidas em lei ou em acordos coletivos não homologados pela Justiça obreira.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2026-10-16T16:08:48.089Z</dcterms:created>
  <dcterms:modified xsi:type="dcterms:W3CDTF">2026-10-16T16:08:48.089Z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