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Ap 470.573-0/4</w:t>
      </w:r>
    </w:p>
    <w:p/>
    <w:p>
      <w:r>
        <w:t xml:space="preserve">CÔNJUGES LOCATÁRIOS — SEPARAÇÃO DO CASAL - QUANDO NÃO A EXTINGUE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locação residencial tem natureza intuitu familiae, mas a fiança, não, salvo pacto em contrário. Quer dizer, a fiança é pessoal. Deixando o afiançado a condição de inquilino, extinguir-se-á a fiança, cuja natureza não se confunde com a da locação, a menos que cláusula contratual disponha de modo contrário, ainda que de forma implícita. - Evoluindo de anterior entendimento, como venho de fazer, cumpre anotar que a solução se encontra na Lei 8.245/91, art. 12, par. ún., além do que doutrina e jurisprudência já proclamavam que sucessão locatícia pelo cônjuge que não celebrou o contrato extingue a fiança (cf. JTA 75/194; 107/376; Ap 470.573-0/4, rel. J. ANTONIO VILENILSON, j. 17.03.1997, desta 4ª Câm.; Ap s/Rev. 386.924 - 3ª Câm. - rel. J. FRANCISCO BARROS - j. 01.03.1994; Ap c/Rev. 453.975 - 1ª Câm. - rel. J. MORATO DE ANDREDE - j. 22.04.1996; SÍLVIO DE SALVO VENOSA, in Nova Lei do Inquilinato comentada, Atlas, 1992, p. 66, e LAURIA TUCCI e VILLAÇA AZEVEDO, in Tratado da locação predial urbana, 1. ed., Saraiva, 1988, 1º v., p. 131-133. - No caso dos autos, porém, há pacto em contrário, na cláusula prevendo a destinação do imóvel para a moradia do inquilino e sua companheira identificada pelo nome, exatamente quem se sub-rogou na locação. Isto significa que a fiança, pessoal sim, destinava-se não só ao filho dos fiadores-apelantes, mas também à companheira dele. Então, a separação do casal, com a permanência da mulher no imóvel, nas circunstâncias destacadas, não extingue a fiança, tanto mais se não comuni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locação residencial tem natureza intuitu familiae, mas a fiança, não, salvo pacto em contrário. Há pacto em contrário na cláusula prevendo a destinação do imóvel para a moradia do inquilino e sua companheira nominada. Nessa hipótese, a separação do casal, com a permanência da mulher no imóvel, não extingue a fiança, tanto mais se não comunicada a sub-rogação ao locador.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2026-10-26T03:39:26.592Z</dcterms:created>
  <dcterms:modified xsi:type="dcterms:W3CDTF">2026-10-26T03:39:26.592Z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