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/>
    <w:p>
      <w:r>
        <w:t xml:space="preserve">LIQUIDAÇÃO DE SENTENÇA — DEPÓSITOS PARA QUITAÇÃO - COMO SERÃO LEVANTADOS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............................................................................ IV - .......................................................................... II - ............................................................................ V - .......................................................................... III - ........................................................................... VI - .......................................................................... VII - NA LIQUIDAÇÃO DA SENTENÇA EXEQUENDA, PROMOVIDA PELO SUBSTITUTO, SERÃO INDIVIDUALIZADOS OS VALORES DEVIDOS A CADA SUBSTITUTO, CUJOS DEPÓSITOS PARA QUITAÇÃO SERÃO LEVANTADOS ATRAVÉS DE GUIAS EXPEDIDAS EM SEU NOME OU DE PROCURADOR COM PODERES ESPECIAIS PARA ESSE FIM, INCLUSIVE NAS AÇÕES DE CUMPRIMENTO. VIII - .......................................................................... Referência Legislativa: - Constituição Federal, art. 8º, inciso III - Lei 6.708 de 1979 - Lei 7.238 de 1984 - Lei 7.788 de 1989 - Lei 8.073 de 1990 DJ de 6-5-1993, pág, 829 N. da Red.: Os outros incisos estão no mesmo T. e St. deste número. N. da R.: Ver t. RESOLUÇÃO, st. Nº 119/03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2026-10-26T05:37:21.711Z</dcterms:created>
  <dcterms:modified xsi:type="dcterms:W3CDTF">2026-10-26T05:37:21.711Z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