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/>
    <w:p>
      <w:r>
        <w:t xml:space="preserve">HONORÁRIOS DE ADVOGADO — QUANDO NÃO SERÃO DEVIDOS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....................................................................... V - .............................................................................. II - ....................................................................... VI - ............................................................................. III - ....................................................................... VII - ............................................................................ VIII - QUANDO O SINDICATO FOR O AUTOR DA AÇÃO NA CONDIÇÃO DE SUBSTITUTO PROCESSUAL, NÃO SERÃO DEVIDOS HONORÁRIOS ADVOCATÍCIOS. Referência Legislativa: - Constituição Federal, art. 8º, inciso III - Lei 6.708 de 1979 - Lei 7.238 de 1984 - Lei 7.788 de 1989 - Lei 8.073 de 1990 DJ de 6-5-1990 N. da Red.: Os outros incisos estão no mesmo T.e St. deste número. N. da R.: Ver t. RESOLUÇÃO, st. Nº 119/03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2026-07-28T02:07:53.537Z</dcterms:created>
  <dcterms:modified xsi:type="dcterms:W3CDTF">2026-07-28T02:07:53.537Z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