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/>
    <w:p>
      <w:r>
        <w:t xml:space="preserve">ADICIONAIS DE INSALUBRIDADE E PERICULOSIDADE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A SUBSTITUIÇÃO PROCESSUAL, DOS EMPREGADOS ASSOCIADOS, PELO SINDICATO QUE CONGREGA A CATEGORIA PROFISSIONAL, NA DEMANDA TRABALHISTA CUJO OBJETO SEJA ADICIONAL DE INSALUBRIDADE OU PERICULOSIDADE. Referência: Código de Processo Civil, art. 6º. Consolidação das Leis do Trabalho, art.. 195, § 2º. Resolução 4/88 -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2026-07-28T01:54:22.665Z</dcterms:created>
  <dcterms:modified xsi:type="dcterms:W3CDTF">2026-07-28T01:54:22.665Z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