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/>
    <w:p>
      <w:r>
        <w:t xml:space="preserve">ADICIONAIS DE INSALUBRIDADE E PERICULOSIDADE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LEGÍTIMA A SUBSTITUIÇÃO PROCESSUAL, DOS EMPREGADOS ASSOCIADOS, PELO SINDICATO QUE CONGREGA A CATEGORIA PROFISSIONAL, NA DEMANDA TRABALHISTA CUJO OBJETO SEJA ADICIONAL DE INSALUBRIDADE OU PERICULOSIDADE. Referência: Código de Processo Civil, art. 6º. Consolidação das Leis do Trabalho, art.. 195, § 2º. Resolução 4/88 -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2026-10-16T16:15:12.896Z</dcterms:created>
  <dcterms:modified xsi:type="dcterms:W3CDTF">2026-10-16T16:15:12.896Z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