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Recurso: </w:t>
      </w:r>
      <w:r>
        <w:t xml:space="preserve">RE 95/141.733-1</w:t>
      </w:r>
    </w:p>
    <w:p/>
    <w:p>
      <w:r>
        <w:t xml:space="preserve">EXECUÇÃO DE CONVENÇÃO COLETIVA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jurisprudencial é oposto àquele difundido pelo MM. Juiz a quo. - Por mera ilustração, transcrevo ementa do julgado do RE nº 95/141.733-1, cujo relator foi o Eminente Ministro ILMAR GALVÃO, verbis: "Ementa: Mandado de Segurança Coletivo - Impetração por Associação de Classe, Legitimação Ativa - Art. 5º, incs. XXI e LXX, b, da Constituição Federal. - A associação regularmente constituída e em funcionamento pode postular em favor de seus membros ou associados, não carecendo de autorização especial em associação geral, bastando a constante do estatuto. Mas como é próprio de toda substituição processual, a legitimação para agir está condicionada à defesa dos direitos ou interesses jurídicos da categoria que representa. - Recurso extraordinário conhecido e provido para que o Tribunal a quo, afastada a preliminar de ilegitimidade ativa do impetrante, julgue o mérito do mandado de segurança"(DJ 01.09.95) - No caso sub examine, o art. 4º do SINASEFE dispõe: "Art. 4º. Ao SINASEFE cabe a defesa dos direitos coletivos ou individuais da categoria, inclusive em questões judiciais ou administrativas". - Em face do explicitado no art. 4º acima transcrito, vê-se que é correta a substituição processual in casu, haja vista que se trata de matéria de interesse de seus associados, e que, por eles, já está o Sindicato autorizado. - Ademais, tal prerrogativa sindical tem o amparo da Constituição Federal de 1988, que reza em seu art. 8º, III: "Art. 8º. É livre a associação p rofissional ou sindical, observado o seguinte: III - ao sindicato cabe a defesa dos direitos e interesses coletivos ou individuais da categoria, inclusive em questões judiciais ou administrativas;" - Isto posto, dou provimento ao apelo, em torno nula a sentença, devendo os autos retornarem à Vara de origem para julgamento do mérito. Ac. de 03-09-1996 DJU de 05-11-1996 Arquivo do EMFOR S00139/TRF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É PARTE LEGÍTIMA PARA PROPOR, COMO SUBSTITUTO PROCESSUAL DEMANDA QUE VISE A OBSERVÂNCIA DE CONVENÇÃO COLETIVA. Referência: Código de Processo Civil, art. 6º. Consolidação das Leis do Trabalho, arts. 857 e 872, parágrafo único. Resolução 19/88 - DJ 18-3-88. EMFOR 479 EMENTA: - A associação regularmente constituída e em funcionamento pode postular em favor de seus membros ou associados, não carecendo de autorização especial em assembléia geral, bastando a constante do estatuto. Mas como é próprio de toda substituição processual, a legitimação para agir está condicionada à defesa dos direitos ou interesses jurídicos da categoria que representa.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2026-10-16T17:24:13.637Z</dcterms:created>
  <dcterms:modified xsi:type="dcterms:W3CDTF">2026-10-16T17:24:13.637Z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