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04/08/1986</w:t>
      </w:r>
    </w:p>
    <w:p/>
    <w:p>
      <w:r>
        <w:t xml:space="preserve">MANIFESTAÇÃO DOS SUBSTITUÍDOS DE NÃO PROSSEGUIREM NA AÇÃO — ACOLHIMENTO PELO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excluiu da lide aqueles empregados que se manifestaram contra a propositura. Tal colocação implicou no acolhimento da desistência da ação pelos substituídos. No caso, a decisão proferida longe ficou de implicar em violência ao § 2º, do artigo 195 da Consolidação das Leis do Trabalho. O fato de se ter cogitado, quando do julgamento, da necessidade da autorização dos substituídos não tem o alcance vislumbrado pelo Agravante, porque suplantado pela manifestação inequívoca de não se continuar com a demanda contra a empresa. - Nega-se provimento ao agravo regimental. Proc. TST-AG.-RR-8.885/85, Julgado em 5-8-1986 Arquivo do EMFOR, TST/1.953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é certo que o sindicato não necessita da autorização dos associados para atuar em juízo como substituto processual, forçoso é reconhecer que, uma vez havendo manifestação dos substituídos a respeito do desejo de não prosseguirem com a demanda, cabe ao Órgão Judiciário acolhê-la.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2026-07-28T03:47:49.007Z</dcterms:created>
  <dcterms:modified xsi:type="dcterms:W3CDTF">2026-07-28T03:47:49.007Z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