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DISSÍDIOS COLETIVOS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04/08/1986</w:t>
      </w:r>
    </w:p>
    <w:p/>
    <w:p>
      <w:r>
        <w:t xml:space="preserve">MANIFESTAÇÃO DOS SUBSTITUÍDOS DE NÃO PROSSEGUIREM NA AÇÃO — ACOLHIMENTO PELO JUDICIÁRIO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Regional excluiu da lide aqueles empregados que se manifestaram contra a propositura. Tal colocação implicou no acolhimento da desistência da ação pelos substituídos. No caso, a decisão proferida longe ficou de implicar em violência ao § 2º, do artigo 195 da Consolidação das Leis do Trabalho. O fato de se ter cogitado, quando do julgamento, da necessidade da autorização dos substituídos não tem o alcance vislumbrado pelo Agravante, porque suplantado pela manifestação inequívoca de não se continuar com a demanda contra a empresa. - Nega-se provimento ao agravo regimental. Proc. TST-AG.-RR-8.885/85, Julgado em 5-8-1986 Arquivo do EMFOR, TST/1.953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é certo que o sindicato não necessita da autorização dos associados para atuar em juízo como substituto processual, forçoso é reconhecer que, uma vez havendo manifestação dos substituídos a respeito do desejo de não prosseguirem com a demanda, cabe ao Órgão Judiciário acolhê-la.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2026-10-16T17:24:18.580Z</dcterms:created>
  <dcterms:modified xsi:type="dcterms:W3CDTF">2026-10-16T17:24:18.580Z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