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VANTUIL ABADALA</w:t>
      </w:r>
    </w:p>
    <w:p/>
    <w:p>
      <w:r>
        <w:t xml:space="preserve">PERÍODO DE FÉRIAS — DIREITO AO SALÁRIO DO SUBSTITUTO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e. Turma deferiu à recorrida as diferenças salariais decorrentes das substituições ocorridas em férias, por entendê-las não eventuais. - O Enunciado 159 do TST determina: "Enquanto perdurar a substituição que não tenha caráter meramente eventual, o empregado substituto fará jus ao salário contratual do substituído." - Esta e. SDI, através do E-RR-114242/94, Acórdão nº 0002468/96, publicado no DJU de 14.11.96, p. 44625, Rel. Min. VANTUIL ABADALA, decidiu, "verbis": "As férias são direito constitucional anualmente previsto, não se caracterizando como um fato eventual, conforme assevera o verbete cento e cinqüenta e nove desta Corte, por não ser uma ausência momentânea e imprevisível do empregado substituto. Devido, portanto, o salário do titular ao obreiro que o substituir durante o seu período de férias". - Acompanho tal entendimento acrescentando que o empregado substituto fará jus ao salário contratual do substituído, mormente porque o tema envolve período razoável de permuta de funções. - Por tais fundamentos, nego provimento aos Embargos. Ac. 901/97 - DJ 25-04-97 Arquivo do EMFOR, TST/N 1440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"as férias são direito constitucional anualmente previsto, não se caracterizando como um fato eventual, conforme assevera o Verbete cento e cinqüenta e nove desta Corte, por não ser uma ausência momentânea e imprevisível do empregado substituto. Devido, portanto, o salário do titular ao obreiro que o substituir durante o seu período de férias".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2026-07-28T01:54:10.723Z</dcterms:created>
  <dcterms:modified xsi:type="dcterms:W3CDTF">2026-07-28T01:54:10.723Z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