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SUBSTITUIÇÃO PROCESSUAL</w:t>
      </w:r>
    </w:p>
    <w:p>
      <w:r>
        <w:rPr>
          <w:i/>
          <w:iCs/>
          <w:color w:val="666666"/>
        </w:rPr>
        <w:t xml:space="preserve">DESISTÊNCIA DA 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VANTUIL ABADALA</w:t>
      </w:r>
    </w:p>
    <w:p/>
    <w:p>
      <w:r>
        <w:t xml:space="preserve">PERÍODO DE FÉRIAS — DIREITO AO SALÁRIO DO SUBSTITUTO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e. Turma deferiu à recorrida as diferenças salariais decorrentes das substituições ocorridas em férias, por entendê-las não eventuais. - O Enunciado 159 do TST determina: "Enquanto perdurar a substituição que não tenha caráter meramente eventual, o empregado substituto fará jus ao salário contratual do substituído." - Esta e. SDI, através do E-RR-114242/94, Acórdão nº 0002468/96, publicado no DJU de 14.11.96, p. 44625, Rel. Min. VANTUIL ABADALA, decidiu, "verbis": "As férias são direito constitucional anualmente previsto, não se caracterizando como um fato eventual, conforme assevera o verbete cento e cinqüenta e nove desta Corte, por não ser uma ausência momentânea e imprevisível do empregado substituto. Devido, portanto, o salário do titular ao obreiro que o substituir durante o seu período de férias". - Acompanho tal entendimento acrescentando que o empregado substituto fará jus ao salário contratual do substituído, mormente porque o tema envolve período razoável de permuta de funções. - Por tais fundamentos, nego provimento aos Embargos. Ac. 901/97 - DJ 25-04-97 Arquivo do EMFOR, TST/N 1440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"as férias são direito constitucional anualmente previsto, não se caracterizando como um fato eventual, conforme assevera o Verbete cento e cinqüenta e nove desta Corte, por não ser uma ausência momentânea e imprevisível do empregado substituto. Devido, portanto, o salário do titular ao obreiro que o substituir durante o seu período de férias".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2026-10-16T17:22:54.254Z</dcterms:created>
  <dcterms:modified xsi:type="dcterms:W3CDTF">2026-10-16T17:22:54.254Z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