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/>
    <w:p>
      <w:r>
        <w:t xml:space="preserve">QUANDO NÃO IMPORTA EM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Argui, preliminarmente, nulidade da sentença "a quo" por ausência de relatório e fundamentação, e por ter incorrido em cerceamento de defesa ao indeferir a oitiva das testemunhas por ela arroladas. - ................................................... - Não merece acolhida a preliminar de nulidade de sentença "a quo", sustentada pela reclamada, em virtude de falta de relatório e fundamentação. - Isso porque, a decisão recorrida preenche todos os requisitos legais, afigurando-se meramente procrastinatória a arguição. - Igual entendimento merece a alegação de cerceamento de defesa, visto que o MM. Juízo de 1º grau indeferiu o depoimento das testemunhas da reclamada, em função de ser a matéria em discussão estritamente de direito, não havendo necessidade da oitiva requerida. - No mérito, também não assiste razão à reclamada. Ac. de 26-07-1994 Arquivo do EMFOR, TRT/508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em cerceamento de defesa o indeferimento da oitiva de testemunhas, quando a matéria em questão é estritamente de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2026-10-26T03:00:51.847Z</dcterms:created>
  <dcterms:modified xsi:type="dcterms:W3CDTF">2026-10-26T03:00:51.847Z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